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A3BBE8">
      <w:pPr>
        <w:pStyle w:val="16"/>
        <w:rPr>
          <w:rFonts w:hint="eastAsia" w:ascii="宋体" w:hAnsi="宋体" w:eastAsia="宋体" w:cs="宋体"/>
          <w:color w:val="auto"/>
          <w:sz w:val="44"/>
          <w:szCs w:val="44"/>
        </w:rPr>
      </w:pPr>
    </w:p>
    <w:p w14:paraId="14767549">
      <w:pPr>
        <w:pStyle w:val="16"/>
        <w:rPr>
          <w:rFonts w:hint="eastAsia" w:ascii="宋体" w:hAnsi="宋体" w:eastAsia="宋体" w:cs="宋体"/>
          <w:color w:val="auto"/>
          <w:sz w:val="44"/>
          <w:szCs w:val="44"/>
        </w:rPr>
      </w:pPr>
    </w:p>
    <w:p w14:paraId="6C0F394D">
      <w:pPr>
        <w:pStyle w:val="16"/>
        <w:rPr>
          <w:rFonts w:hint="eastAsia" w:ascii="宋体" w:hAnsi="宋体" w:eastAsia="宋体" w:cs="宋体"/>
          <w:color w:val="auto"/>
          <w:sz w:val="44"/>
          <w:szCs w:val="44"/>
        </w:rPr>
      </w:pPr>
    </w:p>
    <w:p w14:paraId="64FE7032">
      <w:pPr>
        <w:pStyle w:val="16"/>
        <w:rPr>
          <w:rFonts w:hint="eastAsia" w:ascii="宋体" w:hAnsi="宋体" w:eastAsia="宋体" w:cs="宋体"/>
          <w:color w:val="auto"/>
          <w:sz w:val="32"/>
          <w:szCs w:val="32"/>
          <w:lang w:eastAsia="zh-CN"/>
        </w:rPr>
      </w:pPr>
      <w:r>
        <w:rPr>
          <w:rFonts w:hint="eastAsia" w:ascii="宋体" w:hAnsi="宋体" w:eastAsia="宋体" w:cs="宋体"/>
          <w:color w:val="auto"/>
          <w:sz w:val="52"/>
          <w:szCs w:val="52"/>
          <w:lang w:eastAsia="zh-CN"/>
        </w:rPr>
        <w:t>深圳远征技术有限公司</w:t>
      </w:r>
    </w:p>
    <w:p w14:paraId="3695C055">
      <w:pPr>
        <w:pStyle w:val="16"/>
        <w:jc w:val="both"/>
        <w:rPr>
          <w:rFonts w:hint="eastAsia" w:ascii="宋体" w:hAnsi="宋体" w:eastAsia="宋体" w:cs="宋体"/>
          <w:color w:val="auto"/>
          <w:sz w:val="32"/>
          <w:szCs w:val="32"/>
        </w:rPr>
      </w:pPr>
    </w:p>
    <w:p w14:paraId="114567F9">
      <w:pPr>
        <w:pStyle w:val="16"/>
        <w:rPr>
          <w:rFonts w:hint="eastAsia" w:ascii="宋体" w:hAnsi="宋体" w:eastAsia="宋体" w:cs="宋体"/>
          <w:color w:val="auto"/>
          <w:sz w:val="44"/>
          <w:szCs w:val="32"/>
        </w:rPr>
      </w:pPr>
      <w:r>
        <w:rPr>
          <w:rFonts w:hint="eastAsia" w:ascii="宋体" w:hAnsi="宋体" w:eastAsia="宋体" w:cs="宋体"/>
          <w:color w:val="auto"/>
          <w:sz w:val="44"/>
          <w:szCs w:val="32"/>
        </w:rPr>
        <w:t>碳足迹</w:t>
      </w:r>
      <w:r>
        <w:rPr>
          <w:rFonts w:hint="eastAsia" w:ascii="宋体" w:hAnsi="宋体" w:eastAsia="宋体" w:cs="宋体"/>
          <w:color w:val="auto"/>
          <w:sz w:val="44"/>
          <w:szCs w:val="32"/>
          <w:lang w:val="en-US" w:eastAsia="zh-CN"/>
        </w:rPr>
        <w:t>核查</w:t>
      </w:r>
      <w:r>
        <w:rPr>
          <w:rFonts w:hint="eastAsia" w:ascii="宋体" w:hAnsi="宋体" w:eastAsia="宋体" w:cs="宋体"/>
          <w:color w:val="auto"/>
          <w:sz w:val="44"/>
          <w:szCs w:val="32"/>
        </w:rPr>
        <w:t>报告</w:t>
      </w:r>
    </w:p>
    <w:p w14:paraId="5B44A9DF">
      <w:pPr>
        <w:pStyle w:val="16"/>
        <w:spacing w:before="120"/>
        <w:ind w:firstLine="1200"/>
        <w:jc w:val="both"/>
        <w:rPr>
          <w:rFonts w:hint="eastAsia" w:ascii="宋体" w:hAnsi="宋体" w:eastAsia="宋体" w:cs="宋体"/>
          <w:color w:val="auto"/>
          <w:sz w:val="30"/>
          <w:szCs w:val="30"/>
        </w:rPr>
      </w:pPr>
    </w:p>
    <w:p w14:paraId="48798193">
      <w:pPr>
        <w:pStyle w:val="16"/>
        <w:spacing w:before="120"/>
        <w:ind w:firstLine="1200"/>
        <w:jc w:val="both"/>
        <w:rPr>
          <w:rFonts w:hint="eastAsia" w:ascii="宋体" w:hAnsi="宋体" w:eastAsia="宋体" w:cs="宋体"/>
          <w:color w:val="auto"/>
          <w:sz w:val="30"/>
          <w:szCs w:val="30"/>
        </w:rPr>
      </w:pPr>
    </w:p>
    <w:p w14:paraId="15F65137">
      <w:pPr>
        <w:pStyle w:val="16"/>
        <w:spacing w:before="120"/>
        <w:ind w:firstLine="1200"/>
        <w:jc w:val="both"/>
        <w:rPr>
          <w:rFonts w:hint="eastAsia" w:ascii="宋体" w:hAnsi="宋体" w:eastAsia="宋体" w:cs="宋体"/>
          <w:color w:val="auto"/>
          <w:sz w:val="30"/>
          <w:szCs w:val="30"/>
        </w:rPr>
      </w:pPr>
    </w:p>
    <w:p w14:paraId="3AA9D936">
      <w:pPr>
        <w:pStyle w:val="16"/>
        <w:spacing w:before="120"/>
        <w:ind w:firstLine="1200"/>
        <w:jc w:val="both"/>
        <w:rPr>
          <w:rFonts w:hint="eastAsia" w:ascii="宋体" w:hAnsi="宋体" w:eastAsia="宋体" w:cs="宋体"/>
          <w:color w:val="auto"/>
          <w:sz w:val="30"/>
          <w:szCs w:val="30"/>
        </w:rPr>
      </w:pPr>
    </w:p>
    <w:p w14:paraId="7FDE5E91">
      <w:pPr>
        <w:pStyle w:val="16"/>
        <w:spacing w:before="120"/>
        <w:ind w:firstLine="1200"/>
        <w:jc w:val="both"/>
        <w:rPr>
          <w:rFonts w:hint="eastAsia" w:ascii="宋体" w:hAnsi="宋体" w:eastAsia="宋体" w:cs="宋体"/>
          <w:color w:val="auto"/>
          <w:sz w:val="30"/>
          <w:szCs w:val="30"/>
        </w:rPr>
      </w:pPr>
    </w:p>
    <w:p w14:paraId="0C7AED6E">
      <w:pPr>
        <w:pStyle w:val="16"/>
        <w:spacing w:before="120"/>
        <w:ind w:firstLine="1200"/>
        <w:jc w:val="both"/>
        <w:rPr>
          <w:rFonts w:hint="eastAsia" w:ascii="宋体" w:hAnsi="宋体" w:eastAsia="宋体" w:cs="宋体"/>
          <w:color w:val="auto"/>
          <w:sz w:val="30"/>
          <w:szCs w:val="30"/>
        </w:rPr>
      </w:pPr>
    </w:p>
    <w:p w14:paraId="3FE60D5B">
      <w:pPr>
        <w:pStyle w:val="16"/>
        <w:spacing w:before="120"/>
        <w:jc w:val="both"/>
        <w:rPr>
          <w:rFonts w:hint="eastAsia" w:ascii="宋体" w:hAnsi="宋体" w:eastAsia="宋体" w:cs="宋体"/>
          <w:color w:val="auto"/>
          <w:sz w:val="30"/>
          <w:szCs w:val="30"/>
        </w:rPr>
      </w:pPr>
    </w:p>
    <w:p w14:paraId="0523062D">
      <w:pPr>
        <w:pStyle w:val="16"/>
        <w:spacing w:before="120"/>
        <w:jc w:val="both"/>
        <w:rPr>
          <w:rFonts w:hint="eastAsia" w:ascii="宋体" w:hAnsi="宋体" w:eastAsia="宋体" w:cs="宋体"/>
          <w:color w:val="auto"/>
          <w:sz w:val="30"/>
          <w:szCs w:val="30"/>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93"/>
        <w:gridCol w:w="5029"/>
      </w:tblGrid>
      <w:tr w14:paraId="6D37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3" w:type="dxa"/>
            <w:vAlign w:val="center"/>
          </w:tcPr>
          <w:p w14:paraId="4AE6377E">
            <w:pPr>
              <w:pStyle w:val="16"/>
              <w:spacing w:line="360" w:lineRule="auto"/>
              <w:ind w:firstLine="640" w:firstLineChars="200"/>
              <w:jc w:val="center"/>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color w:val="auto"/>
                <w:sz w:val="32"/>
                <w:szCs w:val="32"/>
              </w:rPr>
              <w:t>报告主体：</w:t>
            </w:r>
          </w:p>
        </w:tc>
        <w:tc>
          <w:tcPr>
            <w:tcW w:w="5029" w:type="dxa"/>
            <w:vAlign w:val="center"/>
          </w:tcPr>
          <w:p w14:paraId="2B0B19A3">
            <w:pPr>
              <w:pStyle w:val="16"/>
              <w:spacing w:before="120"/>
              <w:jc w:val="left"/>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color w:val="auto"/>
                <w:sz w:val="32"/>
                <w:szCs w:val="32"/>
                <w:lang w:eastAsia="zh-CN"/>
              </w:rPr>
              <w:t>深圳远征技术有限公司</w:t>
            </w:r>
          </w:p>
        </w:tc>
      </w:tr>
      <w:tr w14:paraId="7A58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3" w:type="dxa"/>
            <w:vAlign w:val="center"/>
          </w:tcPr>
          <w:p w14:paraId="164B8CD1">
            <w:pPr>
              <w:pStyle w:val="16"/>
              <w:spacing w:line="360" w:lineRule="auto"/>
              <w:ind w:firstLine="640" w:firstLineChars="200"/>
              <w:jc w:val="center"/>
              <w:rPr>
                <w:rFonts w:hint="eastAsia" w:ascii="仿宋" w:hAnsi="仿宋" w:eastAsia="仿宋" w:cs="仿宋"/>
                <w:sz w:val="32"/>
                <w:szCs w:val="32"/>
              </w:rPr>
            </w:pPr>
            <w:r>
              <w:rPr>
                <w:rFonts w:hint="eastAsia" w:ascii="仿宋" w:hAnsi="仿宋" w:eastAsia="仿宋" w:cs="仿宋"/>
                <w:color w:val="auto"/>
                <w:sz w:val="32"/>
                <w:szCs w:val="32"/>
                <w:lang w:val="en-US" w:eastAsia="zh-CN"/>
              </w:rPr>
              <w:t>编制</w:t>
            </w:r>
            <w:r>
              <w:rPr>
                <w:rFonts w:hint="eastAsia" w:ascii="仿宋" w:hAnsi="仿宋" w:eastAsia="仿宋" w:cs="仿宋"/>
                <w:color w:val="auto"/>
                <w:sz w:val="32"/>
                <w:szCs w:val="32"/>
              </w:rPr>
              <w:t>主体：</w:t>
            </w:r>
          </w:p>
        </w:tc>
        <w:tc>
          <w:tcPr>
            <w:tcW w:w="5029" w:type="dxa"/>
            <w:vAlign w:val="center"/>
          </w:tcPr>
          <w:p w14:paraId="798C3806">
            <w:pPr>
              <w:pStyle w:val="16"/>
              <w:spacing w:before="120"/>
              <w:jc w:val="left"/>
              <w:rPr>
                <w:rFonts w:hint="eastAsia" w:ascii="仿宋" w:hAnsi="仿宋" w:eastAsia="仿宋" w:cs="仿宋"/>
                <w:color w:val="auto"/>
                <w:sz w:val="32"/>
                <w:szCs w:val="32"/>
              </w:rPr>
            </w:pPr>
            <w:bookmarkStart w:id="0" w:name="_GoBack"/>
            <w:bookmarkEnd w:id="0"/>
            <w:r>
              <w:rPr>
                <w:rFonts w:hint="eastAsia" w:ascii="仿宋" w:hAnsi="仿宋" w:eastAsia="仿宋" w:cs="仿宋"/>
                <w:color w:val="000000"/>
                <w:kern w:val="0"/>
                <w:sz w:val="32"/>
                <w:szCs w:val="32"/>
                <w:highlight w:val="none"/>
                <w:vertAlign w:val="baseline"/>
                <w:lang w:val="en-US" w:eastAsia="zh-CN"/>
              </w:rPr>
              <w:t>陕西新焦耳低碳节能技术有限公司</w:t>
            </w:r>
          </w:p>
        </w:tc>
      </w:tr>
      <w:tr w14:paraId="025D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3" w:type="dxa"/>
            <w:vAlign w:val="center"/>
          </w:tcPr>
          <w:p w14:paraId="7D51F50A">
            <w:pPr>
              <w:pStyle w:val="4"/>
              <w:ind w:firstLine="640" w:firstLineChars="200"/>
              <w:jc w:val="center"/>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sz w:val="32"/>
                <w:szCs w:val="32"/>
              </w:rPr>
              <w:t>报告年度：</w:t>
            </w:r>
          </w:p>
        </w:tc>
        <w:tc>
          <w:tcPr>
            <w:tcW w:w="5029" w:type="dxa"/>
            <w:vAlign w:val="center"/>
          </w:tcPr>
          <w:p w14:paraId="2F178B4C">
            <w:pPr>
              <w:pStyle w:val="16"/>
              <w:spacing w:before="120"/>
              <w:jc w:val="left"/>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024</w:t>
            </w:r>
            <w:r>
              <w:rPr>
                <w:rFonts w:hint="eastAsia" w:ascii="仿宋" w:hAnsi="仿宋" w:eastAsia="仿宋" w:cs="仿宋"/>
                <w:color w:val="auto"/>
                <w:sz w:val="32"/>
                <w:szCs w:val="32"/>
              </w:rPr>
              <w:t>年</w:t>
            </w:r>
          </w:p>
        </w:tc>
      </w:tr>
      <w:tr w14:paraId="49DE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3" w:type="dxa"/>
            <w:vAlign w:val="center"/>
          </w:tcPr>
          <w:p w14:paraId="4C596D18">
            <w:pPr>
              <w:pStyle w:val="4"/>
              <w:ind w:firstLine="640" w:firstLineChars="200"/>
              <w:jc w:val="center"/>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sz w:val="32"/>
                <w:szCs w:val="32"/>
              </w:rPr>
              <w:t>编制日期：</w:t>
            </w:r>
          </w:p>
        </w:tc>
        <w:tc>
          <w:tcPr>
            <w:tcW w:w="5029" w:type="dxa"/>
            <w:vAlign w:val="center"/>
          </w:tcPr>
          <w:p w14:paraId="1F78B2F9">
            <w:pPr>
              <w:pStyle w:val="16"/>
              <w:jc w:val="left"/>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日</w:t>
            </w:r>
          </w:p>
        </w:tc>
      </w:tr>
    </w:tbl>
    <w:p w14:paraId="1FAA3BB8">
      <w:pPr>
        <w:pStyle w:val="16"/>
        <w:spacing w:before="120"/>
        <w:ind w:firstLine="1200"/>
        <w:jc w:val="both"/>
        <w:rPr>
          <w:rFonts w:hint="eastAsia" w:ascii="宋体" w:hAnsi="宋体" w:eastAsia="宋体" w:cs="宋体"/>
          <w:color w:val="auto"/>
          <w:sz w:val="32"/>
          <w:szCs w:val="32"/>
        </w:rPr>
      </w:pPr>
    </w:p>
    <w:p w14:paraId="1DC1647E">
      <w:pPr>
        <w:jc w:val="left"/>
        <w:rPr>
          <w:rFonts w:hint="eastAsia" w:ascii="宋体" w:hAnsi="宋体" w:eastAsia="宋体" w:cs="宋体"/>
          <w:sz w:val="44"/>
          <w:szCs w:val="44"/>
        </w:rPr>
      </w:pPr>
      <w:r>
        <w:rPr>
          <w:rFonts w:hint="eastAsia" w:ascii="宋体" w:hAnsi="宋体" w:eastAsia="宋体" w:cs="宋体"/>
          <w:sz w:val="44"/>
          <w:szCs w:val="44"/>
        </w:rPr>
        <w:br w:type="page"/>
      </w:r>
    </w:p>
    <w:p w14:paraId="7D210AEA">
      <w:pPr>
        <w:pStyle w:val="9"/>
        <w:numPr>
          <w:ilvl w:val="0"/>
          <w:numId w:val="1"/>
        </w:numPr>
        <w:spacing w:line="360" w:lineRule="auto"/>
        <w:ind w:left="0" w:leftChars="0" w:firstLine="0" w:firstLineChars="0"/>
        <w:outlineLvl w:val="0"/>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公司概况</w:t>
      </w:r>
    </w:p>
    <w:p w14:paraId="41A41078">
      <w:pPr>
        <w:pageBreakBefore w:val="0"/>
        <w:kinsoku/>
        <w:topLinePunct w:val="0"/>
        <w:bidi w:val="0"/>
        <w:adjustRightInd w:val="0"/>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深圳远征技术有限公司源于2000年创始人张庭炎华为内部创业开始，2008年正式成立，是国家级高新技术企业、国家级重点专精特新小巨人、广东省单项冠军。我司是防雷+配电+综合安全解决方案提供商、隔离式防雷接地技术发明者&amp;标准制定者，核心技术已经获得了80多项发明、实用新型、软著及国际专利等，编制隔离式防雷技术标准30余项，目前已引进风投：深圳市国资委远致资本、松禾资本。</w:t>
      </w:r>
    </w:p>
    <w:p w14:paraId="2328A5D7">
      <w:pPr>
        <w:pageBreakBefore w:val="0"/>
        <w:kinsoku/>
        <w:topLinePunct w:val="0"/>
        <w:bidi w:val="0"/>
        <w:adjustRightInd w:val="0"/>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成立至今一直专注于隔离式防雷接地技术与能源和安全底座服务网事业的发展，与北京邮电大学、深圳大学、陆军工程大学、中国铁塔集团公司、中国建筑标准研究院、中国气象局、中国电信集团公司等机构联合研发，经过不懈的刻苦钻研和技术攻关，研发出可完美替代传统防雷技术产品，颠覆了美国富兰克林发明的避雷针技术。依托该技术，我司成功成为国内防雷行业中首家研发并生产出隔离式防雷接地产品的企业并通过工信部的严格评审，获得工信部发文全国推广。</w:t>
      </w:r>
    </w:p>
    <w:p w14:paraId="2D6AC3BC">
      <w:pPr>
        <w:pageBreakBefore w:val="0"/>
        <w:kinsoku/>
        <w:topLinePunct w:val="0"/>
        <w:bidi w:val="0"/>
        <w:adjustRightInd w:val="0"/>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前，我司的产品已形成12个系列、500多个型号，产品及防护方案不仅深受中国铁塔、移动、联通、电信等三大运营商的信赖，还在电力、石油化工、新能源、航天国防、建筑、交通、市政、智慧城市、水利、军工等多个产业领域得到了广泛应用。我司的业务已覆盖湖南、广东、广西、湖北、江西、新疆、西藏等二十多个省份地区，累计完成基站、模块局、智慧灯杆、光伏等防护工程超过20万个。</w:t>
      </w:r>
    </w:p>
    <w:p w14:paraId="2611126A">
      <w:pPr>
        <w:pageBreakBefore w:val="0"/>
        <w:kinsoku/>
        <w:topLinePunct w:val="0"/>
        <w:bidi w:val="0"/>
        <w:adjustRightInd w:val="0"/>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荣誉方面，我司不仅荣获2017年度中国电子学会科技进步奖一等奖，更在2022年脱颖而出，成为第三批国家级重点专精特新小巨人企业之一。此外，我司还获得了2024年广东省单项冠军企业、国家火炬计划产业化示范项目、国家知识产权优势企业、2022年度中国智能建筑行业十大匠心产品品牌企业等荣誉。值得一提的是，我司通过了严格的军工资质认证，这进一步彰显了我司在技术实力和产品质量方面的过硬水平。</w:t>
      </w:r>
    </w:p>
    <w:p w14:paraId="2E3A072C">
      <w:pPr>
        <w:pageBreakBefore w:val="0"/>
        <w:kinsoku/>
        <w:topLinePunct w:val="0"/>
        <w:bidi w:val="0"/>
        <w:adjustRightInd w:val="0"/>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的核心技术已经获得了17项发明专利、49项实用新型专利、15项软件著作权以及5项PCT国际专利的全方位保护。这些专利成果的取得，不仅彰显了公司在防雷技术领域的创新实力，也为我们未来的发展奠定了坚实的基础。</w:t>
      </w:r>
    </w:p>
    <w:p w14:paraId="035B9732">
      <w:pPr>
        <w:pageBreakBefore w:val="0"/>
        <w:kinsoku/>
        <w:topLinePunct w:val="0"/>
        <w:bidi w:val="0"/>
        <w:adjustRightInd w:val="0"/>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在标准制定方面，为了隔离式防雷核心技术实现标准化，利于全国推广，目前公司已起草制定国家标准2项，行业标准3项，地方标准5项，团体标准与企业标准二十余项。</w:t>
      </w:r>
    </w:p>
    <w:p w14:paraId="39D1DE2D">
      <w:pPr>
        <w:pageBreakBefore w:val="0"/>
        <w:kinsoku/>
        <w:topLinePunct w:val="0"/>
        <w:bidi w:val="0"/>
        <w:adjustRightInd w:val="0"/>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研发方面，公司是广东省工程技术研究中心，研发总负责人是深圳市领军人才，从事防雷核心技术学习、研究和开发三十余年，核心专利获得中国专利优秀奖和节能环保专利奖。研发团队成员涵盖大气科学、机电一体化专业、电子信息工程等专业，有丰富的防雷核心技术研发和应用经验。公司保证每年投入销售收入的7％以上作为研发专项经费，通过加大新技术、新产品的开发力度不断提高研发实力和公司的核心竞争力。</w:t>
      </w:r>
    </w:p>
    <w:p w14:paraId="6533E2D7">
      <w:pPr>
        <w:jc w:val="left"/>
        <w:rPr>
          <w:rFonts w:hint="eastAsia" w:ascii="宋体" w:hAnsi="宋体" w:eastAsia="宋体" w:cs="宋体"/>
          <w:sz w:val="44"/>
          <w:szCs w:val="44"/>
        </w:rPr>
      </w:pPr>
    </w:p>
    <w:p w14:paraId="31DA1C4C">
      <w:pPr>
        <w:pStyle w:val="9"/>
        <w:numPr>
          <w:ilvl w:val="0"/>
          <w:numId w:val="1"/>
        </w:numPr>
        <w:spacing w:line="360" w:lineRule="auto"/>
        <w:ind w:left="0" w:leftChars="0" w:firstLine="0" w:firstLineChars="0"/>
        <w:outlineLvl w:val="0"/>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产品碳足迹介绍</w:t>
      </w:r>
    </w:p>
    <w:p w14:paraId="1A8DEB44">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近年来，温室效应、</w:t>
      </w:r>
      <w:r>
        <w:rPr>
          <w:rFonts w:hint="eastAsia" w:ascii="宋体" w:hAnsi="宋体" w:cs="宋体"/>
          <w:sz w:val="24"/>
          <w:szCs w:val="28"/>
          <w:lang w:eastAsia="zh-CN"/>
        </w:rPr>
        <w:t>气候变化</w:t>
      </w:r>
      <w:r>
        <w:rPr>
          <w:rFonts w:hint="eastAsia" w:ascii="宋体" w:hAnsi="宋体" w:eastAsia="宋体" w:cs="宋体"/>
          <w:sz w:val="24"/>
          <w:szCs w:val="28"/>
        </w:rPr>
        <w:t>已成为全球关注的焦点，“碳足迹”这个新的术语越来越广泛地为全世界所使用。碳足迹通常分为项目层面、组织层面、产品层面这三个层面。产品碳足迹（ Product Carbon Footprint，PCF）是指衡量某个产品在其生命周期各阶段的温室气体排放量总和，即从原材料开采、产品生产（或务提供）、分销、使用到最终处置／再生利用等多个阶段的各种温室气体排放的累加。温室</w:t>
      </w:r>
      <w:r>
        <w:rPr>
          <w:rFonts w:hint="eastAsia" w:ascii="宋体" w:hAnsi="宋体" w:cs="宋体"/>
          <w:sz w:val="24"/>
          <w:szCs w:val="28"/>
          <w:lang w:eastAsia="zh-CN"/>
        </w:rPr>
        <w:t>气体</w:t>
      </w:r>
      <w:r>
        <w:rPr>
          <w:rFonts w:hint="eastAsia" w:ascii="宋体" w:hAnsi="宋体" w:eastAsia="宋体" w:cs="宋体"/>
          <w:sz w:val="24"/>
          <w:szCs w:val="28"/>
        </w:rPr>
        <w:t>包括一氧化碳（CO</w:t>
      </w:r>
      <w:r>
        <w:rPr>
          <w:rFonts w:hint="eastAsia" w:ascii="宋体" w:hAnsi="宋体" w:eastAsia="宋体" w:cs="宋体"/>
          <w:sz w:val="24"/>
          <w:szCs w:val="28"/>
          <w:vertAlign w:val="subscript"/>
        </w:rPr>
        <w:t>2</w:t>
      </w:r>
      <w:r>
        <w:rPr>
          <w:rFonts w:hint="eastAsia" w:ascii="宋体" w:hAnsi="宋体" w:eastAsia="宋体" w:cs="宋体"/>
          <w:sz w:val="24"/>
          <w:szCs w:val="28"/>
        </w:rPr>
        <w:t>）、甲烷（CH</w:t>
      </w:r>
      <w:r>
        <w:rPr>
          <w:rFonts w:hint="eastAsia" w:ascii="宋体" w:hAnsi="宋体" w:eastAsia="宋体" w:cs="宋体"/>
          <w:sz w:val="24"/>
          <w:szCs w:val="28"/>
          <w:vertAlign w:val="subscript"/>
        </w:rPr>
        <w:t>4</w:t>
      </w:r>
      <w:r>
        <w:rPr>
          <w:rFonts w:hint="eastAsia" w:ascii="宋体" w:hAnsi="宋体" w:eastAsia="宋体" w:cs="宋体"/>
          <w:sz w:val="24"/>
          <w:szCs w:val="28"/>
        </w:rPr>
        <w:t>）、氧化亚氮（N</w:t>
      </w:r>
      <w:r>
        <w:rPr>
          <w:rFonts w:hint="eastAsia" w:ascii="宋体" w:hAnsi="宋体" w:eastAsia="宋体" w:cs="宋体"/>
          <w:sz w:val="24"/>
          <w:szCs w:val="28"/>
          <w:vertAlign w:val="subscript"/>
        </w:rPr>
        <w:t>2</w:t>
      </w:r>
      <w:r>
        <w:rPr>
          <w:rFonts w:hint="eastAsia" w:ascii="宋体" w:hAnsi="宋体" w:eastAsia="宋体" w:cs="宋体"/>
          <w:sz w:val="24"/>
          <w:szCs w:val="28"/>
        </w:rPr>
        <w:t>O）、氢氟碳化物（HFO）、全氟化碳（PFC）和</w:t>
      </w:r>
      <w:r>
        <w:rPr>
          <w:rFonts w:hint="eastAsia" w:ascii="宋体" w:hAnsi="宋体" w:cs="宋体"/>
          <w:sz w:val="24"/>
          <w:szCs w:val="28"/>
          <w:lang w:val="en-US" w:eastAsia="zh-CN"/>
        </w:rPr>
        <w:t>三</w:t>
      </w:r>
      <w:r>
        <w:rPr>
          <w:rFonts w:hint="eastAsia" w:ascii="宋体" w:hAnsi="宋体" w:cs="宋体"/>
          <w:sz w:val="24"/>
          <w:szCs w:val="28"/>
          <w:lang w:eastAsia="zh-CN"/>
        </w:rPr>
        <w:t>氟化</w:t>
      </w:r>
      <w:r>
        <w:rPr>
          <w:rFonts w:hint="eastAsia" w:ascii="宋体" w:hAnsi="宋体" w:eastAsia="宋体" w:cs="宋体"/>
          <w:sz w:val="24"/>
          <w:szCs w:val="28"/>
        </w:rPr>
        <w:t>氮（NF</w:t>
      </w:r>
      <w:r>
        <w:rPr>
          <w:rFonts w:hint="eastAsia" w:ascii="宋体" w:hAnsi="宋体" w:eastAsia="宋体" w:cs="宋体"/>
          <w:sz w:val="24"/>
          <w:szCs w:val="28"/>
          <w:vertAlign w:val="subscript"/>
        </w:rPr>
        <w:t>3</w:t>
      </w:r>
      <w:r>
        <w:rPr>
          <w:rFonts w:hint="eastAsia" w:ascii="宋体" w:hAnsi="宋体" w:eastAsia="宋体" w:cs="宋体"/>
          <w:sz w:val="24"/>
          <w:szCs w:val="28"/>
        </w:rPr>
        <w:t>）等。产品碳足迹的计算结果为产品生命周期各种温室气体排放量的加权之和，用二氧化碳当量（CO</w:t>
      </w:r>
      <w:r>
        <w:rPr>
          <w:rFonts w:hint="eastAsia" w:ascii="宋体" w:hAnsi="宋体" w:eastAsia="宋体" w:cs="宋体"/>
          <w:sz w:val="24"/>
          <w:szCs w:val="28"/>
          <w:vertAlign w:val="subscript"/>
        </w:rPr>
        <w:t>2</w:t>
      </w:r>
      <w:r>
        <w:rPr>
          <w:rFonts w:hint="eastAsia" w:ascii="宋体" w:hAnsi="宋体" w:eastAsia="宋体" w:cs="宋体"/>
          <w:sz w:val="24"/>
          <w:szCs w:val="28"/>
        </w:rPr>
        <w:t>e）表示、单位为kgCO</w:t>
      </w:r>
      <w:r>
        <w:rPr>
          <w:rFonts w:hint="eastAsia" w:ascii="宋体" w:hAnsi="宋体" w:eastAsia="宋体" w:cs="宋体"/>
          <w:sz w:val="24"/>
          <w:szCs w:val="28"/>
          <w:vertAlign w:val="subscript"/>
        </w:rPr>
        <w:t>2</w:t>
      </w:r>
      <w:r>
        <w:rPr>
          <w:rFonts w:hint="eastAsia" w:ascii="宋体" w:hAnsi="宋体" w:eastAsia="宋体" w:cs="宋体"/>
          <w:sz w:val="24"/>
          <w:szCs w:val="28"/>
        </w:rPr>
        <w:t>e或者gCO</w:t>
      </w:r>
      <w:r>
        <w:rPr>
          <w:rFonts w:hint="eastAsia" w:ascii="宋体" w:hAnsi="宋体" w:eastAsia="宋体" w:cs="宋体"/>
          <w:sz w:val="24"/>
          <w:szCs w:val="28"/>
          <w:vertAlign w:val="subscript"/>
        </w:rPr>
        <w:t>2</w:t>
      </w:r>
      <w:r>
        <w:rPr>
          <w:rFonts w:hint="eastAsia" w:ascii="宋体" w:hAnsi="宋体" w:eastAsia="宋体" w:cs="宋体"/>
          <w:sz w:val="24"/>
          <w:szCs w:val="28"/>
        </w:rPr>
        <w:t>e。全球变暖潜值（ Global Warming Potential．向称GWP），即各种温室气体的二氧化碳当量值，通常采用联合国政府间气候变化专家委员会（IPCC）提供的值，目</w:t>
      </w:r>
      <w:r>
        <w:rPr>
          <w:rFonts w:hint="eastAsia" w:ascii="宋体" w:hAnsi="宋体" w:eastAsia="宋体" w:cs="宋体"/>
          <w:sz w:val="24"/>
          <w:szCs w:val="28"/>
          <w:lang w:eastAsia="zh-CN"/>
        </w:rPr>
        <w:t>阿</w:t>
      </w:r>
      <w:r>
        <w:rPr>
          <w:rFonts w:hint="eastAsia" w:ascii="宋体" w:hAnsi="宋体" w:eastAsia="宋体" w:cs="宋体"/>
          <w:sz w:val="24"/>
          <w:szCs w:val="28"/>
        </w:rPr>
        <w:t>前这套因子被全球范围广泛使用。</w:t>
      </w:r>
    </w:p>
    <w:p w14:paraId="392677B1">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产品碳足迹计算只包含一个完整生命周期评估（LCA）的温室气体的部分。基于LCA的评价方法，国际上已建立起多种碳足迹评估指南和要求，用于产品碳足迹认证，目前广泛使用的碳足迹评估标准有三种：</w:t>
      </w:r>
    </w:p>
    <w:p w14:paraId="256D0E37">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（1）《PAS2050：2011商品和服务在生命周期内的温室气体排放评价规范》，此标准是由英国标准协会（BSI）与碳信托公司（ Carbon Trust）、英国食品和乡村事务部（ Defra）联合发布，是国际上最早的、具有具体计算方法的标准，也是目前使用较多的产品碳足迹评价标准；</w:t>
      </w:r>
    </w:p>
    <w:p w14:paraId="4DCDAE49">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（2）《温室气体核算体系：产品寿命周期核算与报告标准》，此标准是由世界资源研究所（ World Resources Institute，简称VRI）和世界可持续发展工商理事会（World Business Council for Sustainable Development，简称WBCSD）发布的产品和供应链标准；</w:t>
      </w:r>
    </w:p>
    <w:p w14:paraId="7A6D37E4">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（3）ISO/TS 14067：2013温室气体——产品碳足迹——量化和信息交流的要求与指南》，此标准以PAS 2050为种子文件，由国际标准化组织（ISO）编制发布。产品碳足迹核算标准的</w:t>
      </w:r>
      <w:r>
        <w:rPr>
          <w:rFonts w:hint="eastAsia" w:ascii="宋体" w:hAnsi="宋体" w:cs="宋体"/>
          <w:sz w:val="24"/>
          <w:szCs w:val="28"/>
          <w:lang w:eastAsia="zh-CN"/>
        </w:rPr>
        <w:t>出吨</w:t>
      </w:r>
      <w:r>
        <w:rPr>
          <w:rFonts w:hint="eastAsia" w:ascii="宋体" w:hAnsi="宋体" w:eastAsia="宋体" w:cs="宋体"/>
          <w:sz w:val="24"/>
          <w:szCs w:val="28"/>
        </w:rPr>
        <w:t>目的是建立一个一致的、</w:t>
      </w:r>
      <w:r>
        <w:rPr>
          <w:rFonts w:hint="eastAsia" w:ascii="宋体" w:hAnsi="宋体" w:cs="宋体"/>
          <w:sz w:val="24"/>
          <w:szCs w:val="28"/>
          <w:lang w:eastAsia="zh-CN"/>
        </w:rPr>
        <w:t>国际</w:t>
      </w:r>
      <w:r>
        <w:rPr>
          <w:rFonts w:hint="eastAsia" w:ascii="宋体" w:hAnsi="宋体" w:eastAsia="宋体" w:cs="宋体"/>
          <w:sz w:val="24"/>
          <w:szCs w:val="28"/>
        </w:rPr>
        <w:t>认可的评估产品碳足迹的方法。</w:t>
      </w:r>
    </w:p>
    <w:p w14:paraId="2839EC51">
      <w:pPr>
        <w:pStyle w:val="9"/>
        <w:rPr>
          <w:rFonts w:hint="eastAsia" w:ascii="宋体" w:hAnsi="宋体" w:eastAsia="宋体" w:cs="宋体"/>
          <w:sz w:val="24"/>
          <w:szCs w:val="28"/>
        </w:rPr>
      </w:pPr>
    </w:p>
    <w:p w14:paraId="026E1BF8">
      <w:pPr>
        <w:rPr>
          <w:rFonts w:hint="eastAsia"/>
        </w:rPr>
      </w:pPr>
    </w:p>
    <w:p w14:paraId="3395A3AD">
      <w:pPr>
        <w:pStyle w:val="9"/>
        <w:numPr>
          <w:ilvl w:val="0"/>
          <w:numId w:val="1"/>
        </w:numPr>
        <w:spacing w:line="360" w:lineRule="auto"/>
        <w:ind w:left="0" w:leftChars="0" w:firstLine="0" w:firstLineChars="0"/>
        <w:outlineLvl w:val="0"/>
        <w:rPr>
          <w:rFonts w:ascii="Times New Roman" w:hAnsi="Times New Roman" w:eastAsia="宋体" w:cs="Times New Roman"/>
          <w:b/>
          <w:bCs/>
          <w:color w:val="000000" w:themeColor="text1"/>
          <w:sz w:val="32"/>
          <w:szCs w:val="32"/>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目的</w:t>
      </w:r>
      <w:r>
        <w:rPr>
          <w:rFonts w:hint="eastAsia" w:ascii="Times New Roman" w:hAnsi="Times New Roman" w:eastAsia="宋体" w:cs="Times New Roman"/>
          <w:b/>
          <w:bCs/>
          <w:color w:val="000000" w:themeColor="text1"/>
          <w:sz w:val="32"/>
          <w:szCs w:val="32"/>
          <w14:textFill>
            <w14:solidFill>
              <w14:schemeClr w14:val="tx1"/>
            </w14:solidFill>
          </w14:textFill>
        </w:rPr>
        <w:t>范围</w:t>
      </w:r>
    </w:p>
    <w:p w14:paraId="0A8A9F47">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本研究的目的是得到</w:t>
      </w:r>
      <w:r>
        <w:rPr>
          <w:rFonts w:hint="eastAsia" w:ascii="宋体" w:hAnsi="宋体" w:cs="宋体"/>
          <w:sz w:val="24"/>
          <w:szCs w:val="28"/>
          <w:lang w:eastAsia="zh-CN"/>
        </w:rPr>
        <w:t>深圳远征技术有限公司</w:t>
      </w:r>
      <w:r>
        <w:rPr>
          <w:rFonts w:hint="eastAsia" w:ascii="宋体" w:hAnsi="宋体" w:eastAsia="宋体" w:cs="宋体"/>
          <w:sz w:val="24"/>
          <w:szCs w:val="28"/>
          <w:lang w:eastAsia="zh-Hans"/>
        </w:rPr>
        <w:t>生产</w:t>
      </w:r>
      <w:r>
        <w:rPr>
          <w:rFonts w:hint="eastAsia" w:ascii="宋体" w:hAnsi="宋体" w:cs="宋体"/>
          <w:sz w:val="24"/>
          <w:szCs w:val="28"/>
          <w:lang w:val="en-US" w:eastAsia="zh-CN"/>
        </w:rPr>
        <w:t>的隔离式防雷技术系列产品</w:t>
      </w:r>
      <w:r>
        <w:rPr>
          <w:rFonts w:hint="eastAsia" w:ascii="宋体" w:hAnsi="宋体" w:eastAsia="宋体" w:cs="宋体"/>
          <w:sz w:val="24"/>
          <w:szCs w:val="28"/>
        </w:rPr>
        <w:t>全生命周期过程的碳足迹，其研究结果有利于</w:t>
      </w:r>
      <w:r>
        <w:rPr>
          <w:rFonts w:hint="eastAsia" w:ascii="宋体" w:hAnsi="宋体" w:cs="宋体"/>
          <w:sz w:val="24"/>
          <w:szCs w:val="28"/>
          <w:lang w:eastAsia="zh-CN"/>
        </w:rPr>
        <w:t>深圳远征技术有限公司</w:t>
      </w:r>
      <w:r>
        <w:rPr>
          <w:rFonts w:hint="eastAsia" w:ascii="宋体" w:hAnsi="宋体" w:eastAsia="宋体" w:cs="宋体"/>
          <w:sz w:val="24"/>
          <w:szCs w:val="28"/>
        </w:rPr>
        <w:t>掌握温室气体排放途径及排放量，并帮助企业发掘减排潜力、有效沟通消费者、提高声誉强化品牌，从而有效</w:t>
      </w:r>
      <w:r>
        <w:rPr>
          <w:rFonts w:hint="eastAsia" w:ascii="宋体" w:hAnsi="宋体" w:cs="宋体"/>
          <w:sz w:val="24"/>
          <w:szCs w:val="28"/>
          <w:lang w:eastAsia="zh-CN"/>
        </w:rPr>
        <w:t>地</w:t>
      </w:r>
      <w:r>
        <w:rPr>
          <w:rFonts w:hint="eastAsia" w:ascii="宋体" w:hAnsi="宋体" w:eastAsia="宋体" w:cs="宋体"/>
          <w:sz w:val="24"/>
          <w:szCs w:val="28"/>
        </w:rPr>
        <w:t>减少温室气体的排放；同时为产品采购商和第三方有效沟通提供良好的数据基础。</w:t>
      </w:r>
    </w:p>
    <w:p w14:paraId="10117C68">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2.3碳足迹范围描述</w:t>
      </w:r>
    </w:p>
    <w:p w14:paraId="7C11037F">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本报告核查的温室气体种类包含IPCC第5次评估报告中所列的温室气体，如二氧化碳（CO</w:t>
      </w:r>
      <w:r>
        <w:rPr>
          <w:rFonts w:hint="eastAsia" w:ascii="宋体" w:hAnsi="宋体" w:eastAsia="宋体" w:cs="宋体"/>
          <w:sz w:val="24"/>
          <w:szCs w:val="28"/>
          <w:vertAlign w:val="subscript"/>
        </w:rPr>
        <w:t>2</w:t>
      </w:r>
      <w:r>
        <w:rPr>
          <w:rFonts w:hint="eastAsia" w:ascii="宋体" w:hAnsi="宋体" w:eastAsia="宋体" w:cs="宋体"/>
          <w:sz w:val="24"/>
          <w:szCs w:val="28"/>
        </w:rPr>
        <w:t>）、臭氧（O</w:t>
      </w:r>
      <w:r>
        <w:rPr>
          <w:rFonts w:hint="eastAsia" w:ascii="宋体" w:hAnsi="宋体" w:eastAsia="宋体" w:cs="宋体"/>
          <w:sz w:val="24"/>
          <w:szCs w:val="28"/>
          <w:vertAlign w:val="subscript"/>
        </w:rPr>
        <w:t>3</w:t>
      </w:r>
      <w:r>
        <w:rPr>
          <w:rFonts w:hint="eastAsia" w:ascii="宋体" w:hAnsi="宋体" w:eastAsia="宋体" w:cs="宋体"/>
          <w:sz w:val="24"/>
          <w:szCs w:val="28"/>
        </w:rPr>
        <w:t>）、氧化亚氮（N</w:t>
      </w:r>
      <w:r>
        <w:rPr>
          <w:rFonts w:hint="eastAsia" w:ascii="宋体" w:hAnsi="宋体" w:eastAsia="宋体" w:cs="宋体"/>
          <w:sz w:val="24"/>
          <w:szCs w:val="28"/>
          <w:vertAlign w:val="subscript"/>
        </w:rPr>
        <w:t>2</w:t>
      </w:r>
      <w:r>
        <w:rPr>
          <w:rFonts w:hint="eastAsia" w:ascii="宋体" w:hAnsi="宋体" w:eastAsia="宋体" w:cs="宋体"/>
          <w:sz w:val="24"/>
          <w:szCs w:val="28"/>
        </w:rPr>
        <w:t>O）、甲烷（CH</w:t>
      </w:r>
      <w:r>
        <w:rPr>
          <w:rFonts w:hint="eastAsia" w:ascii="宋体" w:hAnsi="宋体" w:eastAsia="宋体" w:cs="宋体"/>
          <w:sz w:val="24"/>
          <w:szCs w:val="28"/>
          <w:vertAlign w:val="subscript"/>
        </w:rPr>
        <w:t>4</w:t>
      </w:r>
      <w:r>
        <w:rPr>
          <w:rFonts w:hint="eastAsia" w:ascii="宋体" w:hAnsi="宋体" w:eastAsia="宋体" w:cs="宋体"/>
          <w:sz w:val="24"/>
          <w:szCs w:val="28"/>
        </w:rPr>
        <w:t>）、氢氟氯碳化物类（CFCs，HFCs，HCFCs）、全氟碳化物（PFCs）及六氟化硫（SF6）等，并且采用了IPCC第五次评估报告（2013年）提出的方法来计算产品生产周期的GWP值。</w:t>
      </w:r>
    </w:p>
    <w:p w14:paraId="3BE1524B">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为方便轻量化，将碳足迹的计算定义为</w:t>
      </w:r>
      <w:r>
        <w:rPr>
          <w:rFonts w:hint="eastAsia" w:ascii="宋体" w:hAnsi="宋体" w:eastAsia="宋体" w:cs="宋体"/>
          <w:sz w:val="24"/>
          <w:szCs w:val="28"/>
          <w:lang w:eastAsia="zh-Hans"/>
        </w:rPr>
        <w:t>生产</w:t>
      </w:r>
      <w:r>
        <w:rPr>
          <w:rFonts w:hint="eastAsia" w:ascii="宋体" w:hAnsi="宋体" w:eastAsia="宋体" w:cs="宋体"/>
          <w:sz w:val="24"/>
          <w:szCs w:val="28"/>
        </w:rPr>
        <w:t>产品“</w:t>
      </w:r>
      <w:r>
        <w:rPr>
          <w:rFonts w:hint="eastAsia" w:ascii="宋体" w:hAnsi="宋体" w:eastAsia="宋体" w:cs="宋体"/>
          <w:sz w:val="24"/>
          <w:szCs w:val="28"/>
          <w:lang w:val="en-US" w:eastAsia="zh-CN"/>
        </w:rPr>
        <w:t>每吨产品</w:t>
      </w:r>
      <w:r>
        <w:rPr>
          <w:rFonts w:hint="eastAsia" w:ascii="宋体" w:hAnsi="宋体" w:eastAsia="宋体" w:cs="宋体"/>
          <w:sz w:val="24"/>
          <w:szCs w:val="28"/>
        </w:rPr>
        <w:t>”所产生的碳足迹。</w:t>
      </w:r>
    </w:p>
    <w:p w14:paraId="696A61CE">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核查周期为</w:t>
      </w:r>
      <w:r>
        <w:rPr>
          <w:rFonts w:hint="eastAsia" w:ascii="宋体" w:hAnsi="宋体" w:eastAsia="宋体" w:cs="宋体"/>
          <w:sz w:val="24"/>
          <w:szCs w:val="28"/>
          <w:lang w:eastAsia="zh-CN"/>
        </w:rPr>
        <w:t>202</w:t>
      </w:r>
      <w:r>
        <w:rPr>
          <w:rFonts w:hint="eastAsia" w:ascii="宋体" w:hAnsi="宋体" w:cs="宋体"/>
          <w:sz w:val="24"/>
          <w:szCs w:val="28"/>
          <w:lang w:val="en-US" w:eastAsia="zh-CN"/>
        </w:rPr>
        <w:t>4</w:t>
      </w:r>
      <w:r>
        <w:rPr>
          <w:rFonts w:hint="eastAsia" w:ascii="宋体" w:hAnsi="宋体" w:eastAsia="宋体" w:cs="宋体"/>
          <w:sz w:val="24"/>
          <w:szCs w:val="28"/>
        </w:rPr>
        <w:t>年1月1日到</w:t>
      </w:r>
      <w:r>
        <w:rPr>
          <w:rFonts w:hint="eastAsia" w:ascii="宋体" w:hAnsi="宋体" w:eastAsia="宋体" w:cs="宋体"/>
          <w:sz w:val="24"/>
          <w:szCs w:val="28"/>
          <w:lang w:eastAsia="zh-CN"/>
        </w:rPr>
        <w:t>202</w:t>
      </w:r>
      <w:r>
        <w:rPr>
          <w:rFonts w:hint="eastAsia" w:ascii="宋体" w:hAnsi="宋体" w:cs="宋体"/>
          <w:sz w:val="24"/>
          <w:szCs w:val="28"/>
          <w:lang w:val="en-US" w:eastAsia="zh-CN"/>
        </w:rPr>
        <w:t>4</w:t>
      </w:r>
      <w:r>
        <w:rPr>
          <w:rFonts w:hint="eastAsia" w:ascii="宋体" w:hAnsi="宋体" w:eastAsia="宋体" w:cs="宋体"/>
          <w:sz w:val="24"/>
          <w:szCs w:val="28"/>
        </w:rPr>
        <w:t>年12月31日。</w:t>
      </w:r>
    </w:p>
    <w:p w14:paraId="2F58969C">
      <w:pPr>
        <w:spacing w:line="360" w:lineRule="auto"/>
        <w:ind w:firstLine="480" w:firstLineChars="200"/>
        <w:jc w:val="left"/>
        <w:rPr>
          <w:rFonts w:hint="eastAsia" w:ascii="宋体" w:hAnsi="宋体" w:eastAsia="宋体" w:cs="宋体"/>
          <w:sz w:val="28"/>
          <w:szCs w:val="28"/>
        </w:rPr>
      </w:pPr>
      <w:r>
        <w:rPr>
          <w:rFonts w:hint="eastAsia" w:ascii="宋体" w:hAnsi="宋体" w:eastAsia="宋体" w:cs="宋体"/>
          <w:sz w:val="24"/>
          <w:szCs w:val="28"/>
        </w:rPr>
        <w:t>核查地点为</w:t>
      </w:r>
      <w:r>
        <w:rPr>
          <w:rFonts w:hint="eastAsia" w:ascii="宋体" w:hAnsi="宋体" w:cs="宋体"/>
          <w:sz w:val="24"/>
          <w:szCs w:val="28"/>
          <w:lang w:eastAsia="zh-CN"/>
        </w:rPr>
        <w:t>深圳远征技术有限公司</w:t>
      </w:r>
      <w:r>
        <w:rPr>
          <w:rFonts w:hint="eastAsia" w:ascii="宋体" w:hAnsi="宋体" w:eastAsia="宋体" w:cs="宋体"/>
          <w:sz w:val="24"/>
          <w:szCs w:val="28"/>
        </w:rPr>
        <w:t>（地址：深圳市宝安区西乡街道铁岗社区桃花源科技创新生态园B14栋1层）。</w:t>
      </w:r>
    </w:p>
    <w:p w14:paraId="0DA47728">
      <w:pPr>
        <w:ind w:left="0" w:leftChars="0" w:right="0" w:rightChars="0" w:firstLine="0" w:firstLineChars="0"/>
        <w:jc w:val="center"/>
        <w:rPr>
          <w:rFonts w:hint="eastAsia" w:ascii="宋体" w:hAnsi="宋体" w:eastAsia="宋体" w:cs="宋体"/>
          <w:sz w:val="24"/>
          <w:szCs w:val="18"/>
        </w:rPr>
      </w:pPr>
      <w:r>
        <w:rPr>
          <w:rFonts w:hint="eastAsia" w:ascii="宋体" w:hAnsi="宋体" w:eastAsia="宋体" w:cs="宋体"/>
          <w:sz w:val="24"/>
          <w:szCs w:val="18"/>
        </w:rPr>
        <w:t>图</w:t>
      </w:r>
      <w:r>
        <w:rPr>
          <w:rFonts w:hint="eastAsia" w:ascii="宋体" w:hAnsi="宋体" w:cs="宋体"/>
          <w:sz w:val="24"/>
          <w:szCs w:val="18"/>
          <w:lang w:val="en-US" w:eastAsia="zh-CN"/>
        </w:rPr>
        <w:t>3</w:t>
      </w:r>
      <w:r>
        <w:rPr>
          <w:rFonts w:hint="eastAsia" w:ascii="宋体" w:hAnsi="宋体" w:eastAsia="宋体" w:cs="宋体"/>
          <w:sz w:val="24"/>
          <w:szCs w:val="18"/>
        </w:rPr>
        <w:t>.1 系统边界</w:t>
      </w:r>
    </w:p>
    <w:p w14:paraId="058CBB28">
      <w:pPr>
        <w:spacing w:line="360" w:lineRule="auto"/>
        <w:ind w:left="0" w:leftChars="0" w:right="0" w:rightChars="0" w:firstLine="0" w:firstLineChars="0"/>
        <w:jc w:val="center"/>
        <w:rPr>
          <w:rFonts w:hint="eastAsia" w:ascii="宋体" w:hAnsi="宋体" w:eastAsia="宋体" w:cs="宋体"/>
          <w:sz w:val="24"/>
        </w:rPr>
      </w:pPr>
      <w:r>
        <w:drawing>
          <wp:inline distT="0" distB="0" distL="114300" distR="114300">
            <wp:extent cx="4837430" cy="1765300"/>
            <wp:effectExtent l="0" t="0" r="127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837430" cy="1765300"/>
                    </a:xfrm>
                    <a:prstGeom prst="rect">
                      <a:avLst/>
                    </a:prstGeom>
                    <a:noFill/>
                    <a:ln>
                      <a:noFill/>
                    </a:ln>
                  </pic:spPr>
                </pic:pic>
              </a:graphicData>
            </a:graphic>
          </wp:inline>
        </w:drawing>
      </w:r>
    </w:p>
    <w:p w14:paraId="0B5980F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根据公司的实际情况，核查组在本次产品碳足迹核查过程中使用PAS2050作为评估标准，盘查边界可分为B2B（Business-to-Business）和B2C（Business-to-Consumer）两种。本次盘查的系统边界属“从</w:t>
      </w:r>
      <w:r>
        <w:rPr>
          <w:rFonts w:hint="eastAsia" w:ascii="宋体" w:hAnsi="宋体" w:cs="宋体"/>
          <w:sz w:val="24"/>
          <w:lang w:val="en-US" w:eastAsia="zh-CN"/>
        </w:rPr>
        <w:t>大门</w:t>
      </w:r>
      <w:r>
        <w:rPr>
          <w:rFonts w:hint="eastAsia" w:ascii="宋体" w:hAnsi="宋体" w:eastAsia="宋体" w:cs="宋体"/>
          <w:sz w:val="24"/>
        </w:rPr>
        <w:t>到大门”的类型，为实现上述功能单位，研究系统边界见图3-1（虚线边框中的过程不在温室气体排放计算内）：</w:t>
      </w:r>
    </w:p>
    <w:p w14:paraId="7E224B87">
      <w:pPr>
        <w:numPr>
          <w:ilvl w:val="0"/>
          <w:numId w:val="2"/>
        </w:num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与人员相关活动温室气体排放量不计；</w:t>
      </w:r>
    </w:p>
    <w:p w14:paraId="77CAD402">
      <w:pPr>
        <w:numPr>
          <w:ilvl w:val="0"/>
          <w:numId w:val="2"/>
        </w:num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工厂、仓库、办公室等产生的排放量由于受地域、工厂排列等多方面因素的复杂影响，不计。</w:t>
      </w:r>
    </w:p>
    <w:p w14:paraId="234CBB6A">
      <w:pPr>
        <w:spacing w:line="360" w:lineRule="auto"/>
        <w:jc w:val="center"/>
        <w:rPr>
          <w:rFonts w:hint="eastAsia" w:ascii="宋体" w:hAnsi="宋体" w:eastAsia="宋体" w:cs="宋体"/>
          <w:sz w:val="24"/>
        </w:rPr>
      </w:pPr>
      <w:r>
        <w:rPr>
          <w:rFonts w:hint="eastAsia" w:ascii="宋体" w:hAnsi="宋体" w:eastAsia="宋体" w:cs="宋体"/>
          <w:sz w:val="24"/>
        </w:rPr>
        <w:t>表</w:t>
      </w:r>
      <w:r>
        <w:rPr>
          <w:rFonts w:hint="eastAsia" w:ascii="宋体" w:hAnsi="宋体" w:cs="宋体"/>
          <w:sz w:val="24"/>
          <w:lang w:val="en-US" w:eastAsia="zh-CN"/>
        </w:rPr>
        <w:t>3</w:t>
      </w:r>
      <w:r>
        <w:rPr>
          <w:rFonts w:hint="eastAsia" w:ascii="宋体" w:hAnsi="宋体" w:eastAsia="宋体" w:cs="宋体"/>
          <w:sz w:val="24"/>
        </w:rPr>
        <w:t>.</w:t>
      </w:r>
      <w:r>
        <w:rPr>
          <w:rFonts w:hint="eastAsia" w:ascii="宋体" w:hAnsi="宋体" w:cs="宋体"/>
          <w:sz w:val="24"/>
          <w:lang w:val="en-US" w:eastAsia="zh-CN"/>
        </w:rPr>
        <w:t>2</w:t>
      </w:r>
      <w:r>
        <w:rPr>
          <w:rFonts w:hint="eastAsia" w:ascii="宋体" w:hAnsi="宋体" w:eastAsia="宋体" w:cs="宋体"/>
          <w:sz w:val="24"/>
        </w:rPr>
        <w:t>包含和未包含在系统边界内的生产过程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6DC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261" w:type="dxa"/>
            <w:vAlign w:val="center"/>
          </w:tcPr>
          <w:p w14:paraId="05A7B901">
            <w:pPr>
              <w:jc w:val="center"/>
              <w:rPr>
                <w:rFonts w:hint="eastAsia" w:ascii="宋体" w:hAnsi="宋体" w:eastAsia="宋体" w:cs="宋体"/>
                <w:b/>
                <w:sz w:val="24"/>
              </w:rPr>
            </w:pPr>
            <w:r>
              <w:rPr>
                <w:rFonts w:hint="eastAsia" w:ascii="宋体" w:hAnsi="宋体" w:eastAsia="宋体" w:cs="宋体"/>
                <w:b/>
                <w:sz w:val="24"/>
              </w:rPr>
              <w:t>包含过程</w:t>
            </w:r>
          </w:p>
        </w:tc>
        <w:tc>
          <w:tcPr>
            <w:tcW w:w="4261" w:type="dxa"/>
            <w:vAlign w:val="center"/>
          </w:tcPr>
          <w:p w14:paraId="4247FC5F">
            <w:pPr>
              <w:jc w:val="center"/>
              <w:rPr>
                <w:rFonts w:hint="eastAsia" w:ascii="宋体" w:hAnsi="宋体" w:eastAsia="宋体" w:cs="宋体"/>
                <w:b/>
                <w:sz w:val="24"/>
              </w:rPr>
            </w:pPr>
            <w:r>
              <w:rPr>
                <w:rFonts w:hint="eastAsia" w:ascii="宋体" w:hAnsi="宋体" w:eastAsia="宋体" w:cs="宋体"/>
                <w:b/>
                <w:sz w:val="24"/>
              </w:rPr>
              <w:t>未包含过程</w:t>
            </w:r>
          </w:p>
        </w:tc>
      </w:tr>
      <w:tr w14:paraId="5714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6BF8F074">
            <w:pPr>
              <w:widowControl w:val="0"/>
              <w:numPr>
                <w:ilvl w:val="0"/>
                <w:numId w:val="3"/>
              </w:numPr>
              <w:spacing w:line="360" w:lineRule="auto"/>
              <w:jc w:val="both"/>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lang w:val="en-US" w:eastAsia="zh-CN"/>
                <w14:textFill>
                  <w14:solidFill>
                    <w14:schemeClr w14:val="tx1"/>
                  </w14:solidFill>
                </w14:textFill>
              </w:rPr>
              <w:t>产品</w:t>
            </w:r>
            <w:r>
              <w:rPr>
                <w:rFonts w:ascii="宋体" w:hAnsi="宋体" w:eastAsia="宋体" w:cs="宋体"/>
                <w:color w:val="000000" w:themeColor="text1"/>
                <w:spacing w:val="-2"/>
                <w14:textFill>
                  <w14:solidFill>
                    <w14:schemeClr w14:val="tx1"/>
                  </w14:solidFill>
                </w14:textFill>
              </w:rPr>
              <w:t>生命周期过程包括：</w:t>
            </w:r>
          </w:p>
          <w:p w14:paraId="52F5B2F3">
            <w:pPr>
              <w:widowControl w:val="0"/>
              <w:numPr>
                <w:ilvl w:val="0"/>
                <w:numId w:val="0"/>
              </w:numPr>
              <w:spacing w:line="360" w:lineRule="auto"/>
              <w:ind w:left="0" w:leftChars="0" w:firstLine="0" w:firstLineChars="0"/>
              <w:jc w:val="both"/>
              <w:rPr>
                <w:rFonts w:hint="eastAsia" w:ascii="宋体" w:hAnsi="宋体" w:eastAsia="宋体" w:cs="宋体"/>
                <w:sz w:val="24"/>
              </w:rPr>
            </w:pPr>
            <w:r>
              <w:rPr>
                <w:rFonts w:ascii="宋体" w:hAnsi="宋体" w:eastAsia="宋体" w:cs="宋体"/>
                <w:color w:val="000000" w:themeColor="text1"/>
                <w:spacing w:val="-2"/>
                <w14:textFill>
                  <w14:solidFill>
                    <w14:schemeClr w14:val="tx1"/>
                  </w14:solidFill>
                </w14:textFill>
              </w:rPr>
              <w:t>原材料</w:t>
            </w:r>
            <w:r>
              <w:rPr>
                <w:rFonts w:hint="eastAsia" w:ascii="宋体" w:hAnsi="宋体" w:eastAsia="宋体" w:cs="宋体"/>
                <w:color w:val="000000" w:themeColor="text1"/>
                <w:spacing w:val="-2"/>
                <w:lang w:val="en-US" w:eastAsia="zh-CN"/>
                <w14:textFill>
                  <w14:solidFill>
                    <w14:schemeClr w14:val="tx1"/>
                  </w14:solidFill>
                </w14:textFill>
              </w:rPr>
              <w:t>获取</w:t>
            </w:r>
            <w:r>
              <w:rPr>
                <w:rFonts w:ascii="Times New Roman" w:hAnsi="Times New Roman" w:eastAsia="Times New Roman" w:cs="Times New Roman"/>
                <w:color w:val="000000" w:themeColor="text1"/>
                <w:spacing w:val="-1"/>
                <w14:textFill>
                  <w14:solidFill>
                    <w14:schemeClr w14:val="tx1"/>
                  </w14:solidFill>
                </w14:textFill>
              </w:rPr>
              <w:t>→</w:t>
            </w:r>
            <w:r>
              <w:rPr>
                <w:rFonts w:ascii="宋体" w:hAnsi="宋体" w:eastAsia="宋体" w:cs="宋体"/>
                <w:color w:val="000000" w:themeColor="text1"/>
                <w:spacing w:val="-1"/>
                <w14:textFill>
                  <w14:solidFill>
                    <w14:schemeClr w14:val="tx1"/>
                  </w14:solidFill>
                </w14:textFill>
              </w:rPr>
              <w:t>产品生产</w:t>
            </w:r>
            <w:r>
              <w:rPr>
                <w:rFonts w:ascii="Times New Roman" w:hAnsi="Times New Roman" w:eastAsia="Times New Roman" w:cs="Times New Roman"/>
                <w:color w:val="000000" w:themeColor="text1"/>
                <w:spacing w:val="-1"/>
                <w14:textFill>
                  <w14:solidFill>
                    <w14:schemeClr w14:val="tx1"/>
                  </w14:solidFill>
                </w14:textFill>
              </w:rPr>
              <w:t>→</w:t>
            </w:r>
            <w:r>
              <w:rPr>
                <w:rFonts w:ascii="宋体" w:hAnsi="宋体" w:eastAsia="宋体" w:cs="宋体"/>
                <w:color w:val="000000" w:themeColor="text1"/>
                <w:spacing w:val="-1"/>
                <w14:textFill>
                  <w14:solidFill>
                    <w14:schemeClr w14:val="tx1"/>
                  </w14:solidFill>
                </w14:textFill>
              </w:rPr>
              <w:t>产品</w:t>
            </w:r>
            <w:r>
              <w:rPr>
                <w:rFonts w:hint="eastAsia" w:ascii="宋体" w:hAnsi="宋体" w:eastAsia="宋体" w:cs="宋体"/>
                <w:color w:val="000000" w:themeColor="text1"/>
                <w:spacing w:val="-1"/>
                <w:lang w:val="en-US" w:eastAsia="zh-CN"/>
                <w14:textFill>
                  <w14:solidFill>
                    <w14:schemeClr w14:val="tx1"/>
                  </w14:solidFill>
                </w14:textFill>
              </w:rPr>
              <w:t>运输交付过程</w:t>
            </w:r>
          </w:p>
        </w:tc>
        <w:tc>
          <w:tcPr>
            <w:tcW w:w="4261" w:type="dxa"/>
            <w:vAlign w:val="top"/>
          </w:tcPr>
          <w:p w14:paraId="308BE63D">
            <w:pPr>
              <w:widowControl w:val="0"/>
              <w:numPr>
                <w:ilvl w:val="0"/>
                <w:numId w:val="3"/>
              </w:numPr>
              <w:spacing w:line="360" w:lineRule="auto"/>
              <w:jc w:val="both"/>
              <w:rPr>
                <w:color w:val="000000" w:themeColor="text1"/>
                <w14:textFill>
                  <w14:solidFill>
                    <w14:schemeClr w14:val="tx1"/>
                  </w14:solidFill>
                </w14:textFill>
              </w:rPr>
            </w:pPr>
            <w:r>
              <w:rPr>
                <w:rFonts w:hint="eastAsia" w:ascii="宋体" w:hAnsi="宋体" w:eastAsia="宋体" w:cs="宋体"/>
                <w:color w:val="000000" w:themeColor="text1"/>
                <w:spacing w:val="-3"/>
                <w:lang w:val="en-US" w:eastAsia="zh-CN"/>
                <w14:textFill>
                  <w14:solidFill>
                    <w14:schemeClr w14:val="tx1"/>
                  </w14:solidFill>
                </w14:textFill>
              </w:rPr>
              <w:t>产品分销阶段</w:t>
            </w:r>
          </w:p>
          <w:p w14:paraId="77D4E95D">
            <w:pPr>
              <w:widowControl w:val="0"/>
              <w:numPr>
                <w:ilvl w:val="0"/>
                <w:numId w:val="3"/>
              </w:numPr>
              <w:spacing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产品</w:t>
            </w:r>
            <w:r>
              <w:rPr>
                <w:rFonts w:hint="eastAsia" w:eastAsia="宋体"/>
                <w:color w:val="000000" w:themeColor="text1"/>
                <w:lang w:val="en-US" w:eastAsia="zh-CN"/>
                <w14:textFill>
                  <w14:solidFill>
                    <w14:schemeClr w14:val="tx1"/>
                  </w14:solidFill>
                </w14:textFill>
              </w:rPr>
              <w:t>使用阶段</w:t>
            </w:r>
          </w:p>
          <w:p w14:paraId="76FED2E4">
            <w:pPr>
              <w:widowControl w:val="0"/>
              <w:numPr>
                <w:ilvl w:val="0"/>
                <w:numId w:val="3"/>
              </w:numPr>
              <w:spacing w:line="360" w:lineRule="auto"/>
              <w:jc w:val="both"/>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产品回收、处置和废弃</w:t>
            </w:r>
            <w:r>
              <w:rPr>
                <w:rFonts w:hint="eastAsia" w:ascii="宋体" w:hAnsi="宋体" w:eastAsia="宋体" w:cs="宋体"/>
                <w:color w:val="000000" w:themeColor="text1"/>
                <w:lang w:val="en-US" w:eastAsia="zh-CN"/>
                <w14:textFill>
                  <w14:solidFill>
                    <w14:schemeClr w14:val="tx1"/>
                  </w14:solidFill>
                </w14:textFill>
              </w:rPr>
              <w:t>生命末期</w:t>
            </w:r>
            <w:r>
              <w:rPr>
                <w:rFonts w:hint="eastAsia" w:ascii="宋体" w:hAnsi="宋体" w:eastAsia="宋体" w:cs="宋体"/>
                <w:color w:val="000000" w:themeColor="text1"/>
                <w14:textFill>
                  <w14:solidFill>
                    <w14:schemeClr w14:val="tx1"/>
                  </w14:solidFill>
                </w14:textFill>
              </w:rPr>
              <w:t>阶段</w:t>
            </w:r>
          </w:p>
          <w:p w14:paraId="0D7B1D34">
            <w:pPr>
              <w:widowControl w:val="0"/>
              <w:numPr>
                <w:ilvl w:val="0"/>
                <w:numId w:val="3"/>
              </w:numPr>
              <w:spacing w:line="360" w:lineRule="auto"/>
              <w:jc w:val="both"/>
              <w:rPr>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原料及</w:t>
            </w:r>
            <w:r>
              <w:rPr>
                <w:rFonts w:hint="eastAsia" w:ascii="宋体" w:hAnsi="宋体" w:eastAsia="宋体" w:cs="宋体"/>
                <w:color w:val="000000" w:themeColor="text1"/>
                <w14:textFill>
                  <w14:solidFill>
                    <w14:schemeClr w14:val="tx1"/>
                  </w14:solidFill>
                </w14:textFill>
              </w:rPr>
              <w:t>辅料的</w:t>
            </w:r>
            <w:r>
              <w:rPr>
                <w:rFonts w:hint="eastAsia" w:ascii="宋体" w:hAnsi="宋体" w:eastAsia="宋体" w:cs="宋体"/>
                <w:color w:val="000000" w:themeColor="text1"/>
                <w:lang w:val="en-US" w:eastAsia="zh-CN"/>
                <w14:textFill>
                  <w14:solidFill>
                    <w14:schemeClr w14:val="tx1"/>
                  </w14:solidFill>
                </w14:textFill>
              </w:rPr>
              <w:t>生产</w:t>
            </w:r>
          </w:p>
          <w:p w14:paraId="49147D6F">
            <w:pPr>
              <w:widowControl w:val="0"/>
              <w:numPr>
                <w:ilvl w:val="0"/>
                <w:numId w:val="3"/>
              </w:numPr>
              <w:spacing w:line="360" w:lineRule="auto"/>
              <w:ind w:left="420" w:leftChars="0" w:hanging="420" w:firstLineChars="0"/>
              <w:jc w:val="both"/>
              <w:rPr>
                <w:rFonts w:hint="eastAsia" w:ascii="宋体" w:hAnsi="宋体" w:eastAsia="宋体" w:cs="宋体"/>
                <w:sz w:val="24"/>
                <w:lang w:val="en-US" w:eastAsia="zh-CN"/>
              </w:rPr>
            </w:pPr>
            <w:r>
              <w:rPr>
                <w:rFonts w:ascii="宋体" w:hAnsi="宋体" w:eastAsia="宋体" w:cs="宋体"/>
                <w:color w:val="000000" w:themeColor="text1"/>
                <w:spacing w:val="-3"/>
                <w14:textFill>
                  <w14:solidFill>
                    <w14:schemeClr w14:val="tx1"/>
                  </w14:solidFill>
                </w14:textFill>
              </w:rPr>
              <w:t>设备的生产及维修</w:t>
            </w:r>
          </w:p>
        </w:tc>
      </w:tr>
    </w:tbl>
    <w:p w14:paraId="63F2C111">
      <w:pPr>
        <w:tabs>
          <w:tab w:val="left" w:pos="312"/>
        </w:tabs>
        <w:jc w:val="left"/>
        <w:rPr>
          <w:rFonts w:hint="eastAsia" w:ascii="宋体" w:hAnsi="宋体" w:eastAsia="宋体" w:cs="宋体"/>
          <w:b/>
          <w:bCs/>
          <w:sz w:val="28"/>
        </w:rPr>
      </w:pPr>
    </w:p>
    <w:p w14:paraId="30349439">
      <w:pPr>
        <w:pStyle w:val="9"/>
        <w:numPr>
          <w:ilvl w:val="0"/>
          <w:numId w:val="1"/>
        </w:numPr>
        <w:spacing w:line="360" w:lineRule="auto"/>
        <w:ind w:left="0" w:leftChars="0" w:firstLine="0" w:firstLineChars="0"/>
        <w:outlineLvl w:val="0"/>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影响类型和评价方法</w:t>
      </w:r>
    </w:p>
    <w:p w14:paraId="42416999">
      <w:pPr>
        <w:spacing w:before="120" w:beforeLines="50" w:line="360" w:lineRule="auto"/>
        <w:ind w:right="181"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基于研究目标的定义，本研究只选择了全球变暖这一种影响类型，并对产品生命周期的全球变暖潜势（GWP）进行了分析，因为GWP是用来量化产品碳足迹的环境影响指标。研究过程中统计了各种温室气体，包括二氧化碳（C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）、甲烷（CH</w:t>
      </w:r>
      <w:r>
        <w:rPr>
          <w:rFonts w:hint="eastAsia" w:ascii="宋体" w:hAnsi="宋体" w:eastAsia="宋体" w:cs="宋体"/>
          <w:color w:val="000000" w:themeColor="text1"/>
          <w:sz w:val="24"/>
          <w:szCs w:val="24"/>
          <w:vertAlign w:val="subscript"/>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）、氧化亚氮（</w:t>
      </w:r>
      <w:r>
        <w:rPr>
          <w:rFonts w:hint="eastAsia" w:ascii="宋体" w:hAnsi="宋体" w:eastAsia="宋体" w:cs="宋体"/>
          <w:color w:val="000000" w:themeColor="text1"/>
          <w:sz w:val="24"/>
          <w:szCs w:val="24"/>
          <w14:textFill>
            <w14:solidFill>
              <w14:schemeClr w14:val="tx1"/>
            </w14:solidFill>
          </w14:textFill>
        </w:rPr>
        <w:t>N</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w:t>
      </w:r>
      <w:r>
        <w:rPr>
          <w:rFonts w:hint="eastAsia" w:ascii="宋体" w:hAnsi="宋体" w:eastAsia="宋体" w:cs="宋体"/>
          <w:color w:val="000000" w:themeColor="text1"/>
          <w:sz w:val="24"/>
          <w:szCs w:val="24"/>
          <w:lang w:val="en-US" w:eastAsia="zh-CN"/>
          <w14:textFill>
            <w14:solidFill>
              <w14:schemeClr w14:val="tx1"/>
            </w14:solidFill>
          </w14:textFill>
        </w:rPr>
        <w:t>）、氢氟碳化合物（HFCs）、全氟碳化物（PFCs）、六氟化硫（SF</w:t>
      </w:r>
      <w:r>
        <w:rPr>
          <w:rFonts w:hint="eastAsia" w:ascii="宋体" w:hAnsi="宋体" w:eastAsia="宋体" w:cs="宋体"/>
          <w:color w:val="000000" w:themeColor="text1"/>
          <w:sz w:val="24"/>
          <w:szCs w:val="24"/>
          <w:vertAlign w:val="subscript"/>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）和三氟化氮（NF</w:t>
      </w:r>
      <w:r>
        <w:rPr>
          <w:rFonts w:hint="eastAsia" w:ascii="宋体" w:hAnsi="宋体" w:eastAsia="宋体" w:cs="宋体"/>
          <w:color w:val="000000" w:themeColor="text1"/>
          <w:sz w:val="24"/>
          <w:szCs w:val="24"/>
          <w:vertAlign w:val="subscript"/>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）。并且采用了IPCC第四次评估报告（2007年）提出的方法来计算产品生产周期的GWP值，应通过排放或清除的GHG的质量乘以IPCC给出的100年GWP，来计算产品系统每种GHG排放和清除的潜在气候变化影响，单位为kgCO</w:t>
      </w:r>
      <w:r>
        <w:rPr>
          <w:rFonts w:hint="eastAsia" w:ascii="宋体" w:hAnsi="宋体" w:eastAsia="宋体" w:cs="宋体"/>
          <w:color w:val="000000" w:themeColor="text1"/>
          <w:sz w:val="20"/>
          <w:szCs w:val="20"/>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e/(kg排放量)。</w:t>
      </w:r>
    </w:p>
    <w:p w14:paraId="50ACFCF1">
      <w:pPr>
        <w:spacing w:before="120" w:beforeLines="50" w:line="360" w:lineRule="auto"/>
        <w:ind w:right="181"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P100代表短期的气候变化影响，可反映变暖速度。100年GTP代表长期的气候变化影响，可反映长期温升。与其他时间范围相比，选择100年的时间范围并无任何科学依据。该时间范围是国际公约的一个价值判断，它权衡了不同时间范围内可能发生的影响。该方法基于100年时间范围内其他温室气体与二氧化碳相比得到的相对辐射影响值，即特征化因子，此因子用来将其他温室气体的排放量转化为C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当量（</w:t>
      </w:r>
      <w:r>
        <w:rPr>
          <w:rFonts w:hint="default" w:ascii="Times New Roman" w:hAnsi="Times New Roman" w:eastAsia="宋体" w:cs="Times New Roman"/>
          <w:i w:val="0"/>
          <w:iCs/>
          <w:snapToGrid w:val="0"/>
          <w:color w:val="000000" w:themeColor="text1"/>
          <w:kern w:val="0"/>
          <w:sz w:val="21"/>
          <w:szCs w:val="21"/>
          <w:lang w:val="en-US" w:eastAsia="zh-CN" w:bidi="ar"/>
          <w14:textFill>
            <w14:solidFill>
              <w14:schemeClr w14:val="tx1"/>
            </w14:solidFill>
          </w14:textFill>
        </w:rPr>
        <w:t>CO</w:t>
      </w:r>
      <w:r>
        <w:rPr>
          <w:rFonts w:hint="default" w:ascii="Times New Roman" w:hAnsi="Times New Roman" w:eastAsia="宋体" w:cs="Times New Roman"/>
          <w:i w:val="0"/>
          <w:iCs/>
          <w:snapToGrid w:val="0"/>
          <w:color w:val="000000" w:themeColor="text1"/>
          <w:kern w:val="0"/>
          <w:sz w:val="13"/>
          <w:szCs w:val="13"/>
          <w:lang w:val="en-US" w:eastAsia="zh-CN" w:bidi="ar"/>
          <w14:textFill>
            <w14:solidFill>
              <w14:schemeClr w14:val="tx1"/>
            </w14:solidFill>
          </w14:textFill>
        </w:rPr>
        <w:t>2</w:t>
      </w:r>
      <w:r>
        <w:rPr>
          <w:rFonts w:hint="default" w:ascii="Times New Roman" w:hAnsi="Times New Roman" w:eastAsia="宋体" w:cs="Times New Roman"/>
          <w:i w:val="0"/>
          <w:iCs/>
          <w:snapToGrid w:val="0"/>
          <w:color w:val="000000" w:themeColor="text1"/>
          <w:kern w:val="0"/>
          <w:sz w:val="21"/>
          <w:szCs w:val="21"/>
          <w:lang w:val="en-US" w:eastAsia="zh-CN" w:bidi="ar"/>
          <w14:textFill>
            <w14:solidFill>
              <w14:schemeClr w14:val="tx1"/>
            </w14:solidFill>
          </w14:textFill>
        </w:rPr>
        <w:t>e</w:t>
      </w:r>
      <w:r>
        <w:rPr>
          <w:rFonts w:hint="eastAsia" w:ascii="Times New Roman" w:hAnsi="Times New Roman" w:eastAsia="宋体" w:cs="Times New Roman"/>
          <w:i w:val="0"/>
          <w:iCs/>
          <w:snapToGrid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。例如，1kg甲烷在100年内对全球变暖的影响相当于21kg二氧化碳排放对全球变暖的影响，因此以二氧化碳当量（</w:t>
      </w:r>
      <w:r>
        <w:rPr>
          <w:rFonts w:hint="default" w:ascii="Times New Roman" w:hAnsi="Times New Roman" w:eastAsia="宋体" w:cs="Times New Roman"/>
          <w:i w:val="0"/>
          <w:iCs/>
          <w:snapToGrid w:val="0"/>
          <w:color w:val="000000" w:themeColor="text1"/>
          <w:kern w:val="0"/>
          <w:sz w:val="21"/>
          <w:szCs w:val="21"/>
          <w:lang w:val="en-US" w:eastAsia="zh-CN" w:bidi="ar"/>
          <w14:textFill>
            <w14:solidFill>
              <w14:schemeClr w14:val="tx1"/>
            </w14:solidFill>
          </w14:textFill>
        </w:rPr>
        <w:t>CO</w:t>
      </w:r>
      <w:r>
        <w:rPr>
          <w:rFonts w:hint="default" w:ascii="Times New Roman" w:hAnsi="Times New Roman" w:eastAsia="宋体" w:cs="Times New Roman"/>
          <w:i w:val="0"/>
          <w:iCs/>
          <w:snapToGrid w:val="0"/>
          <w:color w:val="000000" w:themeColor="text1"/>
          <w:kern w:val="0"/>
          <w:sz w:val="13"/>
          <w:szCs w:val="13"/>
          <w:lang w:val="en-US" w:eastAsia="zh-CN" w:bidi="ar"/>
          <w14:textFill>
            <w14:solidFill>
              <w14:schemeClr w14:val="tx1"/>
            </w14:solidFill>
          </w14:textFill>
        </w:rPr>
        <w:t>2</w:t>
      </w:r>
      <w:r>
        <w:rPr>
          <w:rFonts w:hint="default" w:ascii="Times New Roman" w:hAnsi="Times New Roman" w:eastAsia="宋体" w:cs="Times New Roman"/>
          <w:i w:val="0"/>
          <w:iCs/>
          <w:snapToGrid w:val="0"/>
          <w:color w:val="000000" w:themeColor="text1"/>
          <w:kern w:val="0"/>
          <w:sz w:val="21"/>
          <w:szCs w:val="21"/>
          <w:lang w:val="en-US" w:eastAsia="zh-CN" w:bidi="ar"/>
          <w14:textFill>
            <w14:solidFill>
              <w14:schemeClr w14:val="tx1"/>
            </w14:solidFill>
          </w14:textFill>
        </w:rPr>
        <w:t>e</w:t>
      </w:r>
      <w:r>
        <w:rPr>
          <w:rFonts w:hint="eastAsia" w:ascii="Times New Roman" w:hAnsi="Times New Roman" w:eastAsia="宋体" w:cs="Times New Roman"/>
          <w:i w:val="0"/>
          <w:iCs/>
          <w:snapToGrid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为基础，甲烷的特征化因子就是21。</w:t>
      </w:r>
    </w:p>
    <w:p w14:paraId="6AB30527">
      <w:pPr>
        <w:pStyle w:val="9"/>
        <w:rPr>
          <w:rFonts w:hint="eastAsia" w:ascii="宋体" w:hAnsi="宋体" w:eastAsia="宋体" w:cs="宋体"/>
          <w:color w:val="000000" w:themeColor="text1"/>
          <w:sz w:val="24"/>
          <w:szCs w:val="24"/>
          <w:lang w:val="en-US" w:eastAsia="zh-CN"/>
          <w14:textFill>
            <w14:solidFill>
              <w14:schemeClr w14:val="tx1"/>
            </w14:solidFill>
          </w14:textFill>
        </w:rPr>
      </w:pPr>
    </w:p>
    <w:p w14:paraId="0B2F8769">
      <w:pPr>
        <w:rPr>
          <w:rFonts w:hint="eastAsia"/>
          <w:lang w:val="en-US" w:eastAsia="zh-CN"/>
        </w:rPr>
      </w:pPr>
    </w:p>
    <w:p w14:paraId="571B4853">
      <w:pPr>
        <w:pStyle w:val="9"/>
        <w:numPr>
          <w:ilvl w:val="0"/>
          <w:numId w:val="1"/>
        </w:numPr>
        <w:spacing w:line="360" w:lineRule="auto"/>
        <w:ind w:left="0" w:leftChars="0" w:firstLine="0" w:firstLineChars="0"/>
        <w:outlineLvl w:val="0"/>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取舍准则</w:t>
      </w:r>
    </w:p>
    <w:p w14:paraId="33097F01">
      <w:pPr>
        <w:spacing w:line="360" w:lineRule="auto"/>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本项目采用的取舍准则以各项原材料投入占产品重量或过程总投入的重量比为依据。具体规则如下：</w:t>
      </w:r>
    </w:p>
    <w:p w14:paraId="1A69C769">
      <w:pPr>
        <w:numPr>
          <w:ilvl w:val="0"/>
          <w:numId w:val="4"/>
        </w:numPr>
        <w:spacing w:line="360" w:lineRule="auto"/>
        <w:ind w:left="1048" w:leftChars="303" w:hanging="412" w:hangingChars="17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普通物料重量＜1%产品重量时，以及含稀贵或高纯成分的物料重量＜0.1%产品重量时，可忽略该物料的上游生产数据；总共忽略的物料重量不超过5%；</w:t>
      </w:r>
    </w:p>
    <w:p w14:paraId="72EE894F">
      <w:pPr>
        <w:numPr>
          <w:ilvl w:val="0"/>
          <w:numId w:val="4"/>
        </w:numPr>
        <w:spacing w:line="360" w:lineRule="auto"/>
        <w:ind w:left="1048" w:leftChars="303" w:hanging="412" w:hangingChars="17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大多数情况下，生产设备、厂房、生活设施等可以忽略；</w:t>
      </w:r>
    </w:p>
    <w:p w14:paraId="1B4C3EDC">
      <w:pPr>
        <w:numPr>
          <w:ilvl w:val="0"/>
          <w:numId w:val="4"/>
        </w:numPr>
        <w:spacing w:line="360" w:lineRule="auto"/>
        <w:ind w:left="1048" w:leftChars="303" w:hanging="412" w:hangingChars="17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在选定环境影响类型范围内的已知排放数据不应忽略。</w:t>
      </w:r>
    </w:p>
    <w:p w14:paraId="32BA4C35">
      <w:pPr>
        <w:numPr>
          <w:ilvl w:val="0"/>
          <w:numId w:val="4"/>
        </w:numPr>
        <w:spacing w:line="360" w:lineRule="auto"/>
        <w:ind w:left="1048" w:leftChars="303" w:hanging="412" w:hangingChars="17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工厂、仓库、办公室等产生的排放量由于受地域、工厂排列等多方面因素的复杂影响，不计。</w:t>
      </w:r>
    </w:p>
    <w:p w14:paraId="073EBE6A">
      <w:pPr>
        <w:numPr>
          <w:ilvl w:val="0"/>
          <w:numId w:val="4"/>
        </w:numPr>
        <w:spacing w:line="360" w:lineRule="auto"/>
        <w:ind w:left="1048" w:leftChars="303" w:hanging="412" w:hangingChars="17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与人员相关活动温室气体排放量不计；</w:t>
      </w:r>
    </w:p>
    <w:p w14:paraId="305C0110">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本报告所有原辅料和能源等消耗都关联了上游数据，部分消耗的上游数据采用近似替代的方式处理，基本无法忽略的物料。</w:t>
      </w:r>
    </w:p>
    <w:p w14:paraId="442216B9">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需要指出的是，本报告在产品碳足迹量化过程中，可舍弃产品碳足迹影响小于1%的环节，舍弃环节总的影响未超过产品碳足迹总量的5%。</w:t>
      </w:r>
    </w:p>
    <w:p w14:paraId="61BD5FFD">
      <w:pPr>
        <w:pStyle w:val="9"/>
        <w:rPr>
          <w:rFonts w:hint="eastAsia"/>
          <w:lang w:val="en-US" w:eastAsia="zh-CN"/>
        </w:rPr>
      </w:pPr>
    </w:p>
    <w:p w14:paraId="3A0386CA">
      <w:pPr>
        <w:pStyle w:val="9"/>
        <w:rPr>
          <w:rFonts w:hint="default"/>
          <w:color w:val="000000" w:themeColor="text1"/>
          <w:lang w:val="en-US" w:eastAsia="zh-CN"/>
          <w14:textFill>
            <w14:solidFill>
              <w14:schemeClr w14:val="tx1"/>
            </w14:solidFill>
          </w14:textFill>
        </w:rPr>
      </w:pPr>
    </w:p>
    <w:p w14:paraId="63746334">
      <w:pPr>
        <w:pStyle w:val="9"/>
        <w:numPr>
          <w:ilvl w:val="0"/>
          <w:numId w:val="1"/>
        </w:numPr>
        <w:spacing w:line="360" w:lineRule="auto"/>
        <w:ind w:left="0" w:leftChars="0" w:firstLine="0" w:firstLineChars="0"/>
        <w:outlineLvl w:val="0"/>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数据来源说明</w:t>
      </w:r>
    </w:p>
    <w:p w14:paraId="4C98ED9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为满足数据质量要求，在本研究中主要考虑了以下几个方面：</w:t>
      </w:r>
    </w:p>
    <w:p w14:paraId="005EDB52">
      <w:pPr>
        <w:numPr>
          <w:ilvl w:val="0"/>
          <w:numId w:val="5"/>
        </w:numPr>
        <w:spacing w:line="360" w:lineRule="auto"/>
        <w:ind w:left="1048" w:leftChars="303" w:hanging="412" w:hangingChars="17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数据准确性：对产品碳足迹贡献度不低于80%的单元过程，应使用活动数据和现场数据,实景数据的可靠程度</w:t>
      </w:r>
    </w:p>
    <w:p w14:paraId="08484FB2">
      <w:pPr>
        <w:numPr>
          <w:ilvl w:val="0"/>
          <w:numId w:val="5"/>
        </w:numPr>
        <w:spacing w:line="360" w:lineRule="auto"/>
        <w:ind w:left="1048" w:leftChars="303" w:hanging="412" w:hangingChars="17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数据代表性：生产商、技术、地域以及时间上的代表性</w:t>
      </w:r>
    </w:p>
    <w:p w14:paraId="7185D4A1">
      <w:pPr>
        <w:numPr>
          <w:ilvl w:val="0"/>
          <w:numId w:val="5"/>
        </w:numPr>
        <w:spacing w:line="360" w:lineRule="auto"/>
        <w:ind w:left="1048" w:leftChars="303" w:hanging="412" w:hangingChars="17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模型一致性：采用的方法和系统边界一致性的程度</w:t>
      </w:r>
    </w:p>
    <w:p w14:paraId="300DF312">
      <w:p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为满足数据质量要求，在研究过程中首先选择来自生产商和供应商直接提供的初级数据，其中企业提供的经验数据取平均值，当初级数据不可得时，尽量选择代表区域平均和特定技术条件下的次级数据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根据GB/T 24067-2024</w:t>
      </w:r>
      <w:r>
        <w:rPr>
          <w:rFonts w:hint="eastAsia" w:ascii="宋体" w:hAnsi="宋体" w:eastAsia="宋体" w:cs="宋体"/>
          <w:color w:val="000000" w:themeColor="text1"/>
          <w:sz w:val="24"/>
          <w:szCs w:val="24"/>
          <w:lang w:eastAsia="zh-CN"/>
          <w14:textFill>
            <w14:solidFill>
              <w14:schemeClr w14:val="tx1"/>
            </w14:solidFill>
          </w14:textFill>
        </w:rPr>
        <w:t>、ISO14067:2018、</w:t>
      </w:r>
      <w:r>
        <w:rPr>
          <w:rFonts w:hint="eastAsia" w:ascii="宋体" w:hAnsi="宋体" w:eastAsia="宋体" w:cs="宋体"/>
          <w:color w:val="000000" w:themeColor="text1"/>
          <w:sz w:val="24"/>
          <w:szCs w:val="24"/>
          <w14:textFill>
            <w14:solidFill>
              <w14:schemeClr w14:val="tx1"/>
            </w14:solidFill>
          </w14:textFill>
        </w:rPr>
        <w:t>PAS2050:2011标准的要求，核查组组建了碳足迹盘查工作组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cs="宋体"/>
          <w:color w:val="000000" w:themeColor="text1"/>
          <w:sz w:val="24"/>
          <w:szCs w:val="24"/>
          <w:lang w:eastAsia="zh-CN"/>
          <w14:textFill>
            <w14:solidFill>
              <w14:schemeClr w14:val="tx1"/>
            </w14:solidFill>
          </w14:textFill>
        </w:rPr>
        <w:t>深圳远征技术有限公司</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隔离式防雷技术系列产品</w:t>
      </w:r>
      <w:r>
        <w:rPr>
          <w:rFonts w:hint="eastAsia" w:ascii="宋体" w:hAnsi="宋体" w:eastAsia="宋体" w:cs="宋体"/>
          <w:color w:val="000000" w:themeColor="text1"/>
          <w:sz w:val="24"/>
          <w:szCs w:val="24"/>
          <w14:textFill>
            <w14:solidFill>
              <w14:schemeClr w14:val="tx1"/>
            </w14:solidFill>
          </w14:textFill>
        </w:rPr>
        <w:t>碳足迹进行盘查</w:t>
      </w:r>
      <w:r>
        <w:rPr>
          <w:rFonts w:hint="eastAsia" w:ascii="宋体" w:hAnsi="宋体" w:eastAsia="宋体" w:cs="宋体"/>
          <w:color w:val="000000" w:themeColor="text1"/>
          <w:sz w:val="24"/>
          <w:szCs w:val="24"/>
          <w:lang w:val="en-US" w:eastAsia="zh-CN"/>
          <w14:textFill>
            <w14:solidFill>
              <w14:schemeClr w14:val="tx1"/>
            </w14:solidFill>
          </w14:textFill>
        </w:rPr>
        <w:t>核算</w:t>
      </w:r>
      <w:r>
        <w:rPr>
          <w:rFonts w:hint="eastAsia" w:ascii="宋体" w:hAnsi="宋体" w:eastAsia="宋体" w:cs="宋体"/>
          <w:color w:val="000000" w:themeColor="text1"/>
          <w:sz w:val="24"/>
          <w:szCs w:val="24"/>
          <w14:textFill>
            <w14:solidFill>
              <w14:schemeClr w14:val="tx1"/>
            </w14:solidFill>
          </w14:textFill>
        </w:rPr>
        <w:t>。工作组对产品碳足迹</w:t>
      </w:r>
      <w:r>
        <w:rPr>
          <w:rFonts w:hint="eastAsia" w:ascii="宋体" w:hAnsi="宋体" w:eastAsia="宋体" w:cs="宋体"/>
          <w:color w:val="000000" w:themeColor="text1"/>
          <w:sz w:val="24"/>
          <w:szCs w:val="24"/>
          <w:lang w:val="en-US" w:eastAsia="zh-CN"/>
          <w14:textFill>
            <w14:solidFill>
              <w14:schemeClr w14:val="tx1"/>
            </w14:solidFill>
          </w14:textFill>
        </w:rPr>
        <w:t>核算</w:t>
      </w:r>
      <w:r>
        <w:rPr>
          <w:rFonts w:hint="eastAsia" w:ascii="宋体" w:hAnsi="宋体" w:eastAsia="宋体" w:cs="宋体"/>
          <w:color w:val="000000" w:themeColor="text1"/>
          <w:sz w:val="24"/>
          <w:szCs w:val="24"/>
          <w14:textFill>
            <w14:solidFill>
              <w14:schemeClr w14:val="tx1"/>
            </w14:solidFill>
          </w14:textFill>
        </w:rPr>
        <w:t>工作先进行前期准备，然后确定工作方案和范围、并通过查阅文件、现场访问和电话沟通等过程完成本次温室气体排放盘查工作。前期准备工作主要包括：了解产品基本情况、生产工艺流程及原材料供应商等信息；并调研和收集部分原始数据，主要包括：</w:t>
      </w:r>
      <w:r>
        <w:rPr>
          <w:rFonts w:hint="eastAsia" w:ascii="宋体" w:hAnsi="宋体" w:eastAsia="宋体" w:cs="宋体"/>
          <w:color w:val="000000" w:themeColor="text1"/>
          <w:sz w:val="24"/>
          <w:szCs w:val="24"/>
          <w:lang w:val="en-US" w:eastAsia="zh-CN"/>
          <w14:textFill>
            <w14:solidFill>
              <w14:schemeClr w14:val="tx1"/>
            </w14:solidFill>
          </w14:textFill>
        </w:rPr>
        <w:t>生产原材料统计表、</w:t>
      </w:r>
      <w:r>
        <w:rPr>
          <w:rFonts w:hint="eastAsia" w:ascii="宋体" w:hAnsi="宋体" w:eastAsia="宋体" w:cs="宋体"/>
          <w:color w:val="000000" w:themeColor="text1"/>
          <w:sz w:val="24"/>
          <w:szCs w:val="24"/>
          <w14:textFill>
            <w14:solidFill>
              <w14:schemeClr w14:val="tx1"/>
            </w14:solidFill>
          </w14:textFill>
        </w:rPr>
        <w:t>生产报表、财务数据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能源消耗台账</w:t>
      </w:r>
      <w:r>
        <w:rPr>
          <w:rFonts w:hint="eastAsia" w:ascii="宋体" w:hAnsi="宋体" w:eastAsia="宋体" w:cs="宋体"/>
          <w:color w:val="000000" w:themeColor="text1"/>
          <w:sz w:val="24"/>
          <w:szCs w:val="24"/>
          <w14:textFill>
            <w14:solidFill>
              <w14:schemeClr w14:val="tx1"/>
            </w14:solidFill>
          </w14:textFill>
        </w:rPr>
        <w:t>等，以保证数据的完整性和准确性，并在后期报告编制阶段，大量查阅数据库、文献报告</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国家地方标准</w:t>
      </w:r>
      <w:r>
        <w:rPr>
          <w:rFonts w:hint="eastAsia" w:ascii="宋体" w:hAnsi="宋体" w:eastAsia="宋体" w:cs="宋体"/>
          <w:color w:val="000000" w:themeColor="text1"/>
          <w:sz w:val="24"/>
          <w:szCs w:val="24"/>
          <w14:textFill>
            <w14:solidFill>
              <w14:schemeClr w14:val="tx1"/>
            </w14:solidFill>
          </w14:textFill>
        </w:rPr>
        <w:t>以及成熟可用的CLCD-China数据库</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LCA软件去获取排放因子。</w:t>
      </w:r>
    </w:p>
    <w:p w14:paraId="79445B49">
      <w:pPr>
        <w:pStyle w:val="9"/>
        <w:numPr>
          <w:ilvl w:val="2"/>
          <w:numId w:val="1"/>
        </w:numPr>
        <w:spacing w:line="360" w:lineRule="auto"/>
        <w:ind w:firstLineChars="0"/>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初级活动水平数据</w:t>
      </w:r>
    </w:p>
    <w:p w14:paraId="589E422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根据GB/T 24067-2024</w:t>
      </w:r>
      <w:r>
        <w:rPr>
          <w:rFonts w:hint="eastAsia" w:ascii="宋体" w:hAnsi="宋体" w:eastAsia="宋体" w:cs="宋体"/>
          <w:color w:val="000000" w:themeColor="text1"/>
          <w:sz w:val="24"/>
          <w:szCs w:val="24"/>
          <w:lang w:eastAsia="zh-CN"/>
          <w14:textFill>
            <w14:solidFill>
              <w14:schemeClr w14:val="tx1"/>
            </w14:solidFill>
          </w14:textFill>
        </w:rPr>
        <w:t>、ISO14067:2018</w:t>
      </w:r>
      <w:r>
        <w:rPr>
          <w:rFonts w:hint="eastAsia" w:ascii="宋体" w:hAnsi="宋体" w:eastAsia="宋体" w:cs="宋体"/>
          <w:color w:val="000000" w:themeColor="text1"/>
          <w:sz w:val="24"/>
          <w:szCs w:val="24"/>
          <w14:textFill>
            <w14:solidFill>
              <w14:schemeClr w14:val="tx1"/>
            </w14:solidFill>
          </w14:textFill>
        </w:rPr>
        <w:t xml:space="preserve"> 、PAS2050:2011标准的要求，初级活动水平数据应用于所有过程和材料，即产生碳足迹的组织所拥有、所经营或所控制的过程和材料。本报告初级活动水平数据包括产品生命周期系统中所有能源与物料的耗用（物料输入与输出、能源消耗等）。这些数据是从公司或供应商处收集和测量获得，能真实地反映了整个生产过程能源和物料的输入，以及产品/中间产品和废物的输出。</w:t>
      </w:r>
    </w:p>
    <w:p w14:paraId="541DF037">
      <w:pPr>
        <w:pStyle w:val="9"/>
        <w:numPr>
          <w:ilvl w:val="2"/>
          <w:numId w:val="1"/>
        </w:numPr>
        <w:spacing w:line="360" w:lineRule="auto"/>
        <w:ind w:firstLineChars="0"/>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次级活动水平数据</w:t>
      </w:r>
    </w:p>
    <w:p w14:paraId="5D43328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根据GB/T 24067-2024</w:t>
      </w:r>
      <w:r>
        <w:rPr>
          <w:rFonts w:hint="eastAsia" w:ascii="宋体" w:hAnsi="宋体" w:eastAsia="宋体" w:cs="宋体"/>
          <w:color w:val="000000" w:themeColor="text1"/>
          <w:sz w:val="24"/>
          <w:szCs w:val="24"/>
          <w:lang w:eastAsia="zh-CN"/>
          <w14:textFill>
            <w14:solidFill>
              <w14:schemeClr w14:val="tx1"/>
            </w14:solidFill>
          </w14:textFill>
        </w:rPr>
        <w:t>、ISO 14067:2018</w:t>
      </w:r>
      <w:r>
        <w:rPr>
          <w:rFonts w:hint="eastAsia" w:ascii="宋体" w:hAnsi="宋体" w:eastAsia="宋体" w:cs="宋体"/>
          <w:color w:val="000000" w:themeColor="text1"/>
          <w:sz w:val="24"/>
          <w:szCs w:val="24"/>
          <w14:textFill>
            <w14:solidFill>
              <w14:schemeClr w14:val="tx1"/>
            </w14:solidFill>
          </w14:textFill>
        </w:rPr>
        <w:t xml:space="preserve"> 、PAS2050:2011标准的要求，凡无法获得初级活动水平数据或初级活动水平数据质量有问题（例如没有响应的测量仪表）时，有必要使用直接测量以外其他来源的次级数据。本报告中次级活动数据主要来源数据库和文献资料中的数据</w:t>
      </w:r>
      <w:r>
        <w:rPr>
          <w:rFonts w:hint="eastAsia" w:ascii="宋体" w:hAnsi="宋体" w:eastAsia="宋体" w:cs="宋体"/>
          <w:color w:val="000000" w:themeColor="text1"/>
          <w:sz w:val="24"/>
          <w:szCs w:val="24"/>
          <w:lang w:val="en-US" w:eastAsia="zh-CN"/>
          <w14:textFill>
            <w14:solidFill>
              <w14:schemeClr w14:val="tx1"/>
            </w14:solidFill>
          </w14:textFill>
        </w:rPr>
        <w:t>等，数据真实可靠，具有较强的科学性和合理性</w:t>
      </w:r>
      <w:r>
        <w:rPr>
          <w:rFonts w:hint="eastAsia" w:ascii="宋体" w:hAnsi="宋体" w:eastAsia="宋体" w:cs="宋体"/>
          <w:color w:val="000000" w:themeColor="text1"/>
          <w:sz w:val="24"/>
          <w:szCs w:val="24"/>
          <w14:textFill>
            <w14:solidFill>
              <w14:schemeClr w14:val="tx1"/>
            </w14:solidFill>
          </w14:textFill>
        </w:rPr>
        <w:t>。</w:t>
      </w:r>
    </w:p>
    <w:p w14:paraId="169B672D">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碳足迹</w:t>
      </w:r>
      <w:r>
        <w:rPr>
          <w:rFonts w:hint="eastAsia" w:ascii="宋体" w:hAnsi="宋体" w:eastAsia="宋体" w:cs="宋体"/>
          <w:color w:val="000000" w:themeColor="text1"/>
          <w:sz w:val="24"/>
          <w:szCs w:val="24"/>
          <w:lang w:val="en-US" w:eastAsia="zh-CN"/>
          <w14:textFill>
            <w14:solidFill>
              <w14:schemeClr w14:val="tx1"/>
            </w14:solidFill>
          </w14:textFill>
        </w:rPr>
        <w:t>识别初级活动、次级活动识别</w:t>
      </w:r>
      <w:r>
        <w:rPr>
          <w:rFonts w:hint="eastAsia" w:ascii="宋体" w:hAnsi="宋体" w:eastAsia="宋体" w:cs="宋体"/>
          <w:color w:val="000000" w:themeColor="text1"/>
          <w:sz w:val="24"/>
          <w:szCs w:val="24"/>
          <w14:textFill>
            <w14:solidFill>
              <w14:schemeClr w14:val="tx1"/>
            </w14:solidFill>
          </w14:textFill>
        </w:rPr>
        <w:t>与</w:t>
      </w:r>
      <w:r>
        <w:rPr>
          <w:rFonts w:hint="eastAsia" w:ascii="宋体" w:hAnsi="宋体" w:eastAsia="宋体" w:cs="宋体"/>
          <w:color w:val="000000" w:themeColor="text1"/>
          <w:sz w:val="24"/>
          <w:szCs w:val="24"/>
          <w:lang w:val="en-US" w:eastAsia="zh-CN"/>
          <w14:textFill>
            <w14:solidFill>
              <w14:schemeClr w14:val="tx1"/>
            </w14:solidFill>
          </w14:textFill>
        </w:rPr>
        <w:t>数据</w:t>
      </w:r>
      <w:r>
        <w:rPr>
          <w:rFonts w:hint="eastAsia" w:ascii="宋体" w:hAnsi="宋体" w:eastAsia="宋体" w:cs="宋体"/>
          <w:color w:val="000000" w:themeColor="text1"/>
          <w:sz w:val="24"/>
          <w:szCs w:val="24"/>
          <w14:textFill>
            <w14:solidFill>
              <w14:schemeClr w14:val="tx1"/>
            </w14:solidFill>
          </w14:textFill>
        </w:rPr>
        <w:t>来源如下表</w:t>
      </w:r>
      <w:r>
        <w:rPr>
          <w:rFonts w:hint="eastAsia" w:ascii="宋体" w:hAnsi="宋体" w:eastAsia="宋体" w:cs="宋体"/>
          <w:color w:val="000000" w:themeColor="text1"/>
          <w:sz w:val="24"/>
          <w:szCs w:val="24"/>
          <w:lang w:val="en-US" w:eastAsia="zh-CN"/>
          <w14:textFill>
            <w14:solidFill>
              <w14:schemeClr w14:val="tx1"/>
            </w14:solidFill>
          </w14:textFill>
        </w:rPr>
        <w:t>6-1。</w:t>
      </w:r>
    </w:p>
    <w:p w14:paraId="011D7DFF">
      <w:pPr>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表6-1 碳足迹识别与数据来源</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425"/>
        <w:gridCol w:w="2415"/>
        <w:gridCol w:w="2671"/>
      </w:tblGrid>
      <w:tr w14:paraId="6E0A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1" w:type="dxa"/>
            <w:gridSpan w:val="3"/>
            <w:vAlign w:val="center"/>
          </w:tcPr>
          <w:p w14:paraId="2F2CF4A5">
            <w:pPr>
              <w:spacing w:line="360" w:lineRule="auto"/>
              <w:jc w:val="center"/>
              <w:rPr>
                <w:rFonts w:hint="eastAsia" w:ascii="宋体" w:hAnsi="宋体" w:eastAsia="宋体" w:cs="宋体"/>
                <w:sz w:val="24"/>
              </w:rPr>
            </w:pPr>
            <w:r>
              <w:rPr>
                <w:rFonts w:hint="eastAsia" w:ascii="宋体" w:hAnsi="宋体" w:eastAsia="宋体" w:cs="宋体"/>
                <w:sz w:val="24"/>
              </w:rPr>
              <w:t>数据类别</w:t>
            </w:r>
          </w:p>
        </w:tc>
        <w:tc>
          <w:tcPr>
            <w:tcW w:w="2671" w:type="dxa"/>
            <w:vAlign w:val="center"/>
          </w:tcPr>
          <w:p w14:paraId="1B38A348">
            <w:pPr>
              <w:spacing w:line="360" w:lineRule="auto"/>
              <w:jc w:val="center"/>
              <w:rPr>
                <w:rFonts w:hint="eastAsia" w:ascii="宋体" w:hAnsi="宋体" w:eastAsia="宋体" w:cs="宋体"/>
                <w:sz w:val="24"/>
              </w:rPr>
            </w:pPr>
            <w:r>
              <w:rPr>
                <w:rFonts w:hint="eastAsia" w:ascii="宋体" w:hAnsi="宋体" w:eastAsia="宋体" w:cs="宋体"/>
                <w:sz w:val="24"/>
              </w:rPr>
              <w:t>活动数据来源</w:t>
            </w:r>
          </w:p>
        </w:tc>
      </w:tr>
      <w:tr w14:paraId="7818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restart"/>
            <w:vAlign w:val="center"/>
          </w:tcPr>
          <w:p w14:paraId="2635E221">
            <w:pPr>
              <w:spacing w:line="360" w:lineRule="auto"/>
              <w:jc w:val="center"/>
              <w:rPr>
                <w:rFonts w:hint="eastAsia" w:ascii="宋体" w:hAnsi="宋体" w:eastAsia="宋体" w:cs="宋体"/>
                <w:sz w:val="24"/>
              </w:rPr>
            </w:pPr>
            <w:r>
              <w:rPr>
                <w:rFonts w:hint="eastAsia" w:ascii="宋体" w:hAnsi="宋体" w:eastAsia="宋体" w:cs="宋体"/>
                <w:sz w:val="24"/>
              </w:rPr>
              <w:t>初级活动数据</w:t>
            </w:r>
          </w:p>
        </w:tc>
        <w:tc>
          <w:tcPr>
            <w:tcW w:w="1425" w:type="dxa"/>
            <w:vAlign w:val="center"/>
          </w:tcPr>
          <w:p w14:paraId="5803C9A6">
            <w:pPr>
              <w:spacing w:line="360" w:lineRule="auto"/>
              <w:jc w:val="center"/>
              <w:rPr>
                <w:rFonts w:hint="eastAsia" w:ascii="宋体" w:hAnsi="宋体" w:eastAsia="宋体" w:cs="宋体"/>
                <w:sz w:val="24"/>
              </w:rPr>
            </w:pPr>
            <w:r>
              <w:rPr>
                <w:rFonts w:hint="eastAsia" w:ascii="宋体" w:hAnsi="宋体" w:eastAsia="宋体" w:cs="宋体"/>
                <w:sz w:val="24"/>
              </w:rPr>
              <w:t>输入</w:t>
            </w:r>
          </w:p>
        </w:tc>
        <w:tc>
          <w:tcPr>
            <w:tcW w:w="2415" w:type="dxa"/>
            <w:vAlign w:val="center"/>
          </w:tcPr>
          <w:p w14:paraId="45C07596">
            <w:pPr>
              <w:spacing w:line="360" w:lineRule="auto"/>
              <w:jc w:val="center"/>
              <w:rPr>
                <w:rFonts w:hint="eastAsia" w:ascii="宋体" w:hAnsi="宋体" w:eastAsia="宋体" w:cs="宋体"/>
                <w:sz w:val="24"/>
              </w:rPr>
            </w:pPr>
            <w:r>
              <w:rPr>
                <w:rFonts w:hint="eastAsia" w:ascii="宋体" w:hAnsi="宋体" w:eastAsia="宋体" w:cs="宋体"/>
                <w:sz w:val="24"/>
              </w:rPr>
              <w:t>主料消耗量</w:t>
            </w:r>
          </w:p>
        </w:tc>
        <w:tc>
          <w:tcPr>
            <w:tcW w:w="2671" w:type="dxa"/>
            <w:vAlign w:val="center"/>
          </w:tcPr>
          <w:p w14:paraId="7BB39DE6">
            <w:pPr>
              <w:spacing w:line="360" w:lineRule="auto"/>
              <w:jc w:val="center"/>
              <w:rPr>
                <w:rFonts w:hint="eastAsia" w:ascii="宋体" w:hAnsi="宋体" w:eastAsia="宋体" w:cs="宋体"/>
                <w:sz w:val="24"/>
              </w:rPr>
            </w:pPr>
            <w:r>
              <w:rPr>
                <w:rFonts w:hint="eastAsia" w:ascii="宋体" w:hAnsi="宋体" w:eastAsia="宋体" w:cs="宋体"/>
                <w:sz w:val="24"/>
              </w:rPr>
              <w:t>企业生产报表</w:t>
            </w:r>
          </w:p>
        </w:tc>
      </w:tr>
      <w:tr w14:paraId="16B5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20021B1C">
            <w:pPr>
              <w:spacing w:line="360" w:lineRule="auto"/>
              <w:jc w:val="center"/>
              <w:rPr>
                <w:rFonts w:hint="eastAsia" w:ascii="宋体" w:hAnsi="宋体" w:eastAsia="宋体" w:cs="宋体"/>
                <w:sz w:val="24"/>
              </w:rPr>
            </w:pPr>
          </w:p>
        </w:tc>
        <w:tc>
          <w:tcPr>
            <w:tcW w:w="1425" w:type="dxa"/>
            <w:vMerge w:val="restart"/>
            <w:vAlign w:val="center"/>
          </w:tcPr>
          <w:p w14:paraId="6E603948">
            <w:pPr>
              <w:spacing w:line="360" w:lineRule="auto"/>
              <w:jc w:val="center"/>
              <w:rPr>
                <w:rFonts w:hint="eastAsia" w:ascii="宋体" w:hAnsi="宋体" w:eastAsia="宋体" w:cs="宋体"/>
                <w:sz w:val="24"/>
              </w:rPr>
            </w:pPr>
            <w:r>
              <w:rPr>
                <w:rFonts w:hint="eastAsia" w:ascii="宋体" w:hAnsi="宋体" w:eastAsia="宋体" w:cs="宋体"/>
                <w:sz w:val="24"/>
              </w:rPr>
              <w:t>能源</w:t>
            </w:r>
          </w:p>
        </w:tc>
        <w:tc>
          <w:tcPr>
            <w:tcW w:w="2415" w:type="dxa"/>
            <w:vAlign w:val="center"/>
          </w:tcPr>
          <w:p w14:paraId="0FD79DF8">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水</w:t>
            </w:r>
          </w:p>
        </w:tc>
        <w:tc>
          <w:tcPr>
            <w:tcW w:w="2671" w:type="dxa"/>
            <w:vAlign w:val="center"/>
          </w:tcPr>
          <w:p w14:paraId="61F68532">
            <w:pPr>
              <w:spacing w:line="360" w:lineRule="auto"/>
              <w:jc w:val="center"/>
              <w:rPr>
                <w:rFonts w:hint="eastAsia" w:ascii="宋体" w:hAnsi="宋体" w:eastAsia="宋体" w:cs="宋体"/>
                <w:sz w:val="24"/>
              </w:rPr>
            </w:pPr>
            <w:r>
              <w:rPr>
                <w:rFonts w:hint="eastAsia" w:ascii="宋体" w:hAnsi="宋体" w:eastAsia="宋体" w:cs="宋体"/>
                <w:sz w:val="24"/>
              </w:rPr>
              <w:t>企业生产报表</w:t>
            </w:r>
          </w:p>
        </w:tc>
      </w:tr>
      <w:tr w14:paraId="6F4B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72362D9F">
            <w:pPr>
              <w:spacing w:line="360" w:lineRule="auto"/>
              <w:jc w:val="center"/>
              <w:rPr>
                <w:rFonts w:hint="eastAsia" w:ascii="宋体" w:hAnsi="宋体" w:eastAsia="宋体" w:cs="宋体"/>
                <w:sz w:val="24"/>
              </w:rPr>
            </w:pPr>
          </w:p>
        </w:tc>
        <w:tc>
          <w:tcPr>
            <w:tcW w:w="1425" w:type="dxa"/>
            <w:vMerge w:val="continue"/>
            <w:vAlign w:val="center"/>
          </w:tcPr>
          <w:p w14:paraId="3624A8F8">
            <w:pPr>
              <w:spacing w:line="360" w:lineRule="auto"/>
              <w:jc w:val="center"/>
              <w:rPr>
                <w:rFonts w:hint="eastAsia" w:ascii="宋体" w:hAnsi="宋体" w:eastAsia="宋体" w:cs="宋体"/>
                <w:sz w:val="24"/>
              </w:rPr>
            </w:pPr>
          </w:p>
        </w:tc>
        <w:tc>
          <w:tcPr>
            <w:tcW w:w="2415" w:type="dxa"/>
            <w:vAlign w:val="center"/>
          </w:tcPr>
          <w:p w14:paraId="4E198278">
            <w:pPr>
              <w:spacing w:line="360" w:lineRule="auto"/>
              <w:jc w:val="center"/>
              <w:rPr>
                <w:rFonts w:hint="eastAsia" w:ascii="宋体" w:hAnsi="宋体" w:eastAsia="宋体" w:cs="宋体"/>
                <w:sz w:val="24"/>
              </w:rPr>
            </w:pPr>
            <w:r>
              <w:rPr>
                <w:rFonts w:hint="eastAsia" w:ascii="宋体" w:hAnsi="宋体" w:eastAsia="宋体" w:cs="宋体"/>
                <w:sz w:val="24"/>
              </w:rPr>
              <w:t>电</w:t>
            </w:r>
          </w:p>
        </w:tc>
        <w:tc>
          <w:tcPr>
            <w:tcW w:w="2671" w:type="dxa"/>
            <w:vAlign w:val="center"/>
          </w:tcPr>
          <w:p w14:paraId="3FD04762">
            <w:pPr>
              <w:spacing w:line="360" w:lineRule="auto"/>
              <w:jc w:val="center"/>
              <w:rPr>
                <w:rFonts w:hint="eastAsia" w:ascii="宋体" w:hAnsi="宋体" w:eastAsia="宋体" w:cs="宋体"/>
                <w:sz w:val="24"/>
              </w:rPr>
            </w:pPr>
            <w:r>
              <w:rPr>
                <w:rFonts w:hint="eastAsia" w:ascii="宋体" w:hAnsi="宋体" w:eastAsia="宋体" w:cs="宋体"/>
                <w:sz w:val="24"/>
              </w:rPr>
              <w:t>企业生产报表</w:t>
            </w:r>
          </w:p>
        </w:tc>
      </w:tr>
      <w:tr w14:paraId="4048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restart"/>
            <w:vAlign w:val="center"/>
          </w:tcPr>
          <w:p w14:paraId="119ECD29">
            <w:pPr>
              <w:spacing w:line="360" w:lineRule="auto"/>
              <w:jc w:val="center"/>
              <w:rPr>
                <w:rFonts w:hint="eastAsia" w:ascii="宋体" w:hAnsi="宋体" w:eastAsia="宋体" w:cs="宋体"/>
                <w:sz w:val="24"/>
              </w:rPr>
            </w:pPr>
            <w:r>
              <w:rPr>
                <w:rFonts w:hint="eastAsia" w:ascii="宋体" w:hAnsi="宋体" w:eastAsia="宋体" w:cs="宋体"/>
                <w:sz w:val="24"/>
              </w:rPr>
              <w:t>次级活动数据</w:t>
            </w:r>
          </w:p>
        </w:tc>
        <w:tc>
          <w:tcPr>
            <w:tcW w:w="1425" w:type="dxa"/>
            <w:vAlign w:val="center"/>
          </w:tcPr>
          <w:p w14:paraId="43DF88FD">
            <w:pPr>
              <w:spacing w:line="360" w:lineRule="auto"/>
              <w:jc w:val="center"/>
              <w:rPr>
                <w:rFonts w:hint="eastAsia"/>
                <w:lang w:eastAsia="zh-CN"/>
              </w:rPr>
            </w:pPr>
            <w:r>
              <w:rPr>
                <w:rFonts w:hint="eastAsia" w:ascii="宋体" w:hAnsi="宋体" w:cs="宋体"/>
                <w:sz w:val="24"/>
                <w:lang w:val="en-US" w:eastAsia="zh-CN"/>
              </w:rPr>
              <w:t>运输</w:t>
            </w:r>
          </w:p>
        </w:tc>
        <w:tc>
          <w:tcPr>
            <w:tcW w:w="2415" w:type="dxa"/>
            <w:vAlign w:val="center"/>
          </w:tcPr>
          <w:p w14:paraId="70F60EE9">
            <w:pPr>
              <w:spacing w:line="360" w:lineRule="auto"/>
              <w:jc w:val="center"/>
              <w:rPr>
                <w:rFonts w:hint="eastAsia" w:ascii="宋体" w:hAnsi="宋体" w:eastAsia="宋体" w:cs="宋体"/>
                <w:sz w:val="24"/>
              </w:rPr>
            </w:pPr>
            <w:r>
              <w:rPr>
                <w:rFonts w:hint="eastAsia" w:ascii="宋体" w:hAnsi="宋体" w:eastAsia="宋体" w:cs="宋体"/>
                <w:sz w:val="24"/>
              </w:rPr>
              <w:t>主料运输距离</w:t>
            </w:r>
          </w:p>
        </w:tc>
        <w:tc>
          <w:tcPr>
            <w:tcW w:w="2671" w:type="dxa"/>
            <w:vAlign w:val="center"/>
          </w:tcPr>
          <w:p w14:paraId="76CA4804">
            <w:pPr>
              <w:spacing w:line="360" w:lineRule="auto"/>
              <w:jc w:val="center"/>
              <w:rPr>
                <w:rFonts w:hint="eastAsia" w:ascii="宋体" w:hAnsi="宋体" w:eastAsia="宋体" w:cs="宋体"/>
                <w:sz w:val="24"/>
              </w:rPr>
            </w:pPr>
            <w:r>
              <w:rPr>
                <w:rFonts w:hint="eastAsia" w:ascii="宋体" w:hAnsi="宋体" w:eastAsia="宋体" w:cs="宋体"/>
                <w:sz w:val="24"/>
              </w:rPr>
              <w:t>根据厂商地址估算</w:t>
            </w:r>
          </w:p>
        </w:tc>
      </w:tr>
      <w:tr w14:paraId="49AD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02673919">
            <w:pPr>
              <w:spacing w:line="360" w:lineRule="auto"/>
              <w:jc w:val="center"/>
              <w:rPr>
                <w:rFonts w:hint="eastAsia" w:ascii="宋体" w:hAnsi="宋体" w:eastAsia="宋体" w:cs="宋体"/>
                <w:sz w:val="24"/>
              </w:rPr>
            </w:pPr>
          </w:p>
        </w:tc>
        <w:tc>
          <w:tcPr>
            <w:tcW w:w="1425" w:type="dxa"/>
            <w:vMerge w:val="restart"/>
            <w:vAlign w:val="center"/>
          </w:tcPr>
          <w:p w14:paraId="15CE376F">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排放因子</w:t>
            </w:r>
          </w:p>
        </w:tc>
        <w:tc>
          <w:tcPr>
            <w:tcW w:w="2415" w:type="dxa"/>
            <w:vAlign w:val="center"/>
          </w:tcPr>
          <w:p w14:paraId="5CBC5466">
            <w:pPr>
              <w:spacing w:line="360" w:lineRule="auto"/>
              <w:jc w:val="center"/>
              <w:rPr>
                <w:rFonts w:hint="eastAsia" w:ascii="宋体" w:hAnsi="宋体" w:eastAsia="宋体" w:cs="宋体"/>
                <w:sz w:val="24"/>
              </w:rPr>
            </w:pPr>
            <w:r>
              <w:rPr>
                <w:rFonts w:hint="eastAsia" w:ascii="宋体" w:hAnsi="宋体" w:eastAsia="宋体" w:cs="宋体"/>
                <w:sz w:val="24"/>
              </w:rPr>
              <w:t>主料制造</w:t>
            </w:r>
          </w:p>
        </w:tc>
        <w:tc>
          <w:tcPr>
            <w:tcW w:w="2671" w:type="dxa"/>
            <w:vMerge w:val="restart"/>
            <w:vAlign w:val="center"/>
          </w:tcPr>
          <w:p w14:paraId="2036E501">
            <w:pPr>
              <w:spacing w:line="360" w:lineRule="auto"/>
              <w:jc w:val="center"/>
              <w:rPr>
                <w:rFonts w:hint="eastAsia" w:ascii="宋体" w:hAnsi="宋体" w:eastAsia="宋体" w:cs="宋体"/>
                <w:sz w:val="24"/>
              </w:rPr>
            </w:pPr>
            <w:r>
              <w:rPr>
                <w:rFonts w:hint="eastAsia" w:ascii="宋体" w:hAnsi="宋体" w:eastAsia="宋体" w:cs="宋体"/>
                <w:sz w:val="24"/>
              </w:rPr>
              <w:t>数据库及文献资料</w:t>
            </w:r>
          </w:p>
        </w:tc>
      </w:tr>
      <w:tr w14:paraId="19DB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4CBDB5BF">
            <w:pPr>
              <w:spacing w:line="360" w:lineRule="auto"/>
              <w:jc w:val="center"/>
              <w:rPr>
                <w:rFonts w:hint="eastAsia" w:ascii="宋体" w:hAnsi="宋体" w:eastAsia="宋体" w:cs="宋体"/>
                <w:sz w:val="24"/>
              </w:rPr>
            </w:pPr>
          </w:p>
        </w:tc>
        <w:tc>
          <w:tcPr>
            <w:tcW w:w="1425" w:type="dxa"/>
            <w:vMerge w:val="continue"/>
            <w:vAlign w:val="center"/>
          </w:tcPr>
          <w:p w14:paraId="2A592406">
            <w:pPr>
              <w:spacing w:line="360" w:lineRule="auto"/>
              <w:jc w:val="center"/>
              <w:rPr>
                <w:rFonts w:hint="eastAsia" w:ascii="宋体" w:hAnsi="宋体" w:eastAsia="宋体" w:cs="宋体"/>
                <w:sz w:val="24"/>
              </w:rPr>
            </w:pPr>
          </w:p>
        </w:tc>
        <w:tc>
          <w:tcPr>
            <w:tcW w:w="2415" w:type="dxa"/>
            <w:vAlign w:val="center"/>
          </w:tcPr>
          <w:p w14:paraId="2FF358B1">
            <w:pPr>
              <w:spacing w:line="360" w:lineRule="auto"/>
              <w:jc w:val="center"/>
              <w:rPr>
                <w:rFonts w:hint="eastAsia" w:ascii="宋体" w:hAnsi="宋体" w:eastAsia="宋体" w:cs="宋体"/>
                <w:sz w:val="24"/>
              </w:rPr>
            </w:pPr>
            <w:r>
              <w:rPr>
                <w:rFonts w:hint="eastAsia" w:ascii="宋体" w:hAnsi="宋体" w:eastAsia="宋体" w:cs="宋体"/>
                <w:sz w:val="24"/>
              </w:rPr>
              <w:t>主料运输</w:t>
            </w:r>
          </w:p>
        </w:tc>
        <w:tc>
          <w:tcPr>
            <w:tcW w:w="2671" w:type="dxa"/>
            <w:vMerge w:val="continue"/>
            <w:vAlign w:val="center"/>
          </w:tcPr>
          <w:p w14:paraId="3E521329">
            <w:pPr>
              <w:spacing w:line="360" w:lineRule="auto"/>
              <w:jc w:val="center"/>
              <w:rPr>
                <w:rFonts w:hint="eastAsia" w:ascii="宋体" w:hAnsi="宋体" w:eastAsia="宋体" w:cs="宋体"/>
                <w:sz w:val="24"/>
              </w:rPr>
            </w:pPr>
          </w:p>
        </w:tc>
      </w:tr>
    </w:tbl>
    <w:p w14:paraId="68549A3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014409E0">
      <w:pPr>
        <w:pStyle w:val="9"/>
        <w:numPr>
          <w:ilvl w:val="2"/>
          <w:numId w:val="1"/>
        </w:numPr>
        <w:spacing w:line="360" w:lineRule="auto"/>
        <w:ind w:firstLineChars="0"/>
        <w:outlineLvl w:val="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影响类型和特征化因子选择</w:t>
      </w:r>
    </w:p>
    <w:p w14:paraId="5551FA9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为了计算产品的碳足迹，必须考虑活动水平数据、排放因子数据和全球变暖潜势</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GWP</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。活动水平数据是指产品在生命周期中的所有的量化数据（包括物质的输入、输出；能量使用；交通等方面</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电力、柴油消耗量等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。排放因子数据是指单位活动水平数据排放的温室气体数量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利用排放因子数据，可以将活动水平数据转化为温室气体排放量。如：电力的排放因子可表示为：C0</w:t>
      </w:r>
      <w:r>
        <w:rPr>
          <w:rFonts w:hint="eastAsia" w:ascii="宋体" w:hAnsi="宋体" w:eastAsia="宋体" w:cs="宋体"/>
          <w:color w:val="000000" w:themeColor="text1"/>
          <w:sz w:val="18"/>
          <w:szCs w:val="18"/>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/kWh</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全球变暖潜势</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GWP</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是将单位质量的某种温室效应气体</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GHG</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在给定时间段内辐射强度的影响与等量二氧化碳辐射强度影响相关联的系数，如CH</w:t>
      </w:r>
      <w:r>
        <w:rPr>
          <w:rFonts w:hint="eastAsia" w:ascii="宋体" w:hAnsi="宋体" w:eastAsia="宋体" w:cs="宋体"/>
          <w:color w:val="000000" w:themeColor="text1"/>
          <w:sz w:val="20"/>
          <w:szCs w:val="20"/>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甲烷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的GWP值是21。排放因子采用IPCC规定的缺失值</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一般选择IPCC给出的1O0年GWP。</w:t>
      </w:r>
    </w:p>
    <w:p w14:paraId="09AB4BC3">
      <w:pPr>
        <w:pStyle w:val="3"/>
        <w:rPr>
          <w:rFonts w:hint="eastAsia"/>
          <w:color w:val="000000" w:themeColor="text1"/>
          <w14:textFill>
            <w14:solidFill>
              <w14:schemeClr w14:val="tx1"/>
            </w14:solidFill>
          </w14:textFill>
        </w:rPr>
      </w:pPr>
    </w:p>
    <w:p w14:paraId="27004C19">
      <w:pPr>
        <w:pStyle w:val="9"/>
        <w:numPr>
          <w:ilvl w:val="0"/>
          <w:numId w:val="1"/>
        </w:numPr>
        <w:spacing w:line="360" w:lineRule="auto"/>
        <w:ind w:left="0" w:leftChars="0" w:firstLine="0" w:firstLineChars="0"/>
        <w:outlineLvl w:val="0"/>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碳足迹计算</w:t>
      </w:r>
    </w:p>
    <w:p w14:paraId="7C1D370C">
      <w:pPr>
        <w:pStyle w:val="9"/>
        <w:numPr>
          <w:ilvl w:val="1"/>
          <w:numId w:val="1"/>
        </w:numPr>
        <w:spacing w:line="360" w:lineRule="auto"/>
        <w:ind w:firstLineChars="0"/>
        <w:outlineLvl w:val="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碳足迹</w:t>
      </w:r>
      <w:r>
        <w:rPr>
          <w:rFonts w:hint="eastAsia" w:ascii="宋体" w:hAnsi="宋体" w:eastAsia="宋体" w:cs="宋体"/>
          <w:color w:val="000000" w:themeColor="text1"/>
          <w:sz w:val="24"/>
          <w:szCs w:val="24"/>
          <w:lang w:eastAsia="zh-CN"/>
          <w14:textFill>
            <w14:solidFill>
              <w14:schemeClr w14:val="tx1"/>
            </w14:solidFill>
          </w14:textFill>
        </w:rPr>
        <w:t>计算</w:t>
      </w:r>
      <w:r>
        <w:rPr>
          <w:rFonts w:hint="eastAsia" w:ascii="宋体" w:hAnsi="宋体" w:eastAsia="宋体" w:cs="宋体"/>
          <w:color w:val="000000" w:themeColor="text1"/>
          <w:sz w:val="24"/>
          <w:szCs w:val="24"/>
          <w:lang w:val="en-US" w:eastAsia="zh-CN"/>
          <w14:textFill>
            <w14:solidFill>
              <w14:schemeClr w14:val="tx1"/>
            </w14:solidFill>
          </w14:textFill>
        </w:rPr>
        <w:t>方法</w:t>
      </w:r>
    </w:p>
    <w:p w14:paraId="64DA8D6F">
      <w:pPr>
        <w:spacing w:line="360" w:lineRule="auto"/>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参考</w:t>
      </w:r>
      <w:r>
        <w:rPr>
          <w:rFonts w:hint="eastAsia" w:ascii="宋体" w:hAnsi="宋体" w:eastAsia="宋体" w:cs="宋体"/>
          <w:color w:val="000000" w:themeColor="text1"/>
          <w:sz w:val="24"/>
          <w:szCs w:val="24"/>
          <w14:textFill>
            <w14:solidFill>
              <w14:schemeClr w14:val="tx1"/>
            </w14:solidFill>
          </w14:textFill>
        </w:rPr>
        <w:t>GB/T 24067-2024</w:t>
      </w:r>
      <w:r>
        <w:rPr>
          <w:rFonts w:hint="eastAsia" w:ascii="宋体" w:hAnsi="宋体" w:eastAsia="宋体" w:cs="宋体"/>
          <w:color w:val="000000" w:themeColor="text1"/>
          <w:sz w:val="24"/>
          <w:szCs w:val="24"/>
          <w:lang w:eastAsia="zh-CN"/>
          <w14:textFill>
            <w14:solidFill>
              <w14:schemeClr w14:val="tx1"/>
            </w14:solidFill>
          </w14:textFill>
        </w:rPr>
        <w:t>、ISO 14067:2018</w:t>
      </w:r>
      <w:r>
        <w:rPr>
          <w:rFonts w:hint="eastAsia" w:ascii="宋体" w:hAnsi="宋体" w:eastAsia="宋体" w:cs="宋体"/>
          <w:color w:val="000000" w:themeColor="text1"/>
          <w:sz w:val="24"/>
          <w:szCs w:val="24"/>
          <w14:textFill>
            <w14:solidFill>
              <w14:schemeClr w14:val="tx1"/>
            </w14:solidFill>
          </w14:textFill>
        </w:rPr>
        <w:t xml:space="preserve"> 、PAS2050:2011标准的要求</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产品碳足迹</w:t>
      </w:r>
      <w:r>
        <w:rPr>
          <w:rFonts w:hint="eastAsia" w:ascii="宋体" w:hAnsi="宋体" w:eastAsia="宋体" w:cs="宋体"/>
          <w:color w:val="000000" w:themeColor="text1"/>
          <w:sz w:val="24"/>
          <w:szCs w:val="24"/>
          <w:lang w:val="en-US" w:eastAsia="zh-CN"/>
          <w14:textFill>
            <w14:solidFill>
              <w14:schemeClr w14:val="tx1"/>
            </w14:solidFill>
          </w14:textFill>
        </w:rPr>
        <w:t>计算方法见公式（1）。</w:t>
      </w:r>
    </w:p>
    <w:p w14:paraId="746C43E2">
      <w:pPr>
        <w:spacing w:line="360" w:lineRule="auto"/>
        <w:ind w:firstLine="480" w:firstLineChars="200"/>
        <w:jc w:val="center"/>
        <w:rPr>
          <w:rFonts w:hint="default" w:hAnsi="Cambria Math" w:eastAsia="宋体" w:cs="宋体"/>
          <w:i w:val="0"/>
          <w:color w:val="000000" w:themeColor="text1"/>
          <w:sz w:val="24"/>
          <w:szCs w:val="24"/>
          <w:lang w:val="en-US" w:eastAsia="zh-CN"/>
          <w14:textFill>
            <w14:solidFill>
              <w14:schemeClr w14:val="tx1"/>
            </w14:solidFill>
          </w14:textFill>
        </w:rPr>
      </w:pPr>
      <w:r>
        <w:rPr>
          <w:rFonts w:hint="eastAsia" w:ascii="Cambria Math" w:hAnsi="Cambria Math" w:eastAsia="宋体" w:cs="宋体"/>
          <w:i/>
          <w:color w:val="000000" w:themeColor="text1"/>
          <w:sz w:val="24"/>
          <w:szCs w:val="24"/>
          <w:lang w:val="en-US" w:eastAsia="zh-CN"/>
          <w14:textFill>
            <w14:solidFill>
              <w14:schemeClr w14:val="tx1"/>
            </w14:solidFill>
          </w14:textFill>
        </w:rPr>
        <w:t>CFP</w:t>
      </w:r>
      <w:r>
        <w:rPr>
          <w:rFonts w:hint="eastAsia" w:ascii="Cambria Math" w:hAnsi="Cambria Math" w:eastAsia="宋体" w:cs="宋体"/>
          <w:i/>
          <w:color w:val="000000" w:themeColor="text1"/>
          <w:sz w:val="15"/>
          <w:szCs w:val="15"/>
          <w:lang w:val="en-US" w:eastAsia="zh-CN"/>
          <w14:textFill>
            <w14:solidFill>
              <w14:schemeClr w14:val="tx1"/>
            </w14:solidFill>
          </w14:textFill>
        </w:rPr>
        <w:t xml:space="preserve">GHG </w:t>
      </w:r>
      <w:r>
        <w:rPr>
          <w:rFonts w:hint="eastAsia" w:hAnsi="Cambria Math" w:eastAsia="宋体" w:cs="宋体"/>
          <w:i w:val="0"/>
          <w:color w:val="000000" w:themeColor="text1"/>
          <w:sz w:val="24"/>
          <w:szCs w:val="24"/>
          <w:lang w:val="en-US" w:eastAsia="zh-CN"/>
          <w14:textFill>
            <w14:solidFill>
              <w14:schemeClr w14:val="tx1"/>
            </w14:solidFill>
          </w14:textFill>
        </w:rPr>
        <w:t>=</w:t>
      </w:r>
      <m:oMath>
        <m:nary>
          <m:naryPr>
            <m:chr m:val="∑"/>
            <m:limLoc m:val="undOvr"/>
            <m:supHide m:val="1"/>
            <m:ctrlPr>
              <w:rPr>
                <w:rFonts w:ascii="Cambria Math" w:hAnsi="Cambria Math" w:cs="宋体"/>
                <w:i/>
                <w:color w:val="000000" w:themeColor="text1"/>
                <w:sz w:val="24"/>
                <w:szCs w:val="24"/>
                <w:lang w:val="en-US"/>
                <w14:textFill>
                  <w14:solidFill>
                    <w14:schemeClr w14:val="tx1"/>
                  </w14:solidFill>
                </w14:textFill>
              </w:rPr>
            </m:ctrlPr>
          </m:naryPr>
          <m:sub>
            <m:r>
              <m:rPr/>
              <w:rPr>
                <w:rFonts w:hint="default" w:ascii="Cambria Math" w:hAnsi="Cambria Math" w:eastAsia="宋体" w:cs="宋体"/>
                <w:color w:val="000000" w:themeColor="text1"/>
                <w:sz w:val="24"/>
                <w:szCs w:val="24"/>
                <w:lang w:val="en-US" w:eastAsia="zh-CN"/>
                <w14:textFill>
                  <w14:solidFill>
                    <w14:schemeClr w14:val="tx1"/>
                  </w14:solidFill>
                </w14:textFill>
              </w:rPr>
              <m:t>j</m:t>
            </m:r>
            <m:ctrlPr>
              <w:rPr>
                <w:rFonts w:ascii="Cambria Math" w:hAnsi="Cambria Math" w:cs="宋体"/>
                <w:i/>
                <w:color w:val="000000" w:themeColor="text1"/>
                <w:sz w:val="24"/>
                <w:szCs w:val="24"/>
                <w:lang w:val="en-US"/>
                <w14:textFill>
                  <w14:solidFill>
                    <w14:schemeClr w14:val="tx1"/>
                  </w14:solidFill>
                </w14:textFill>
              </w:rPr>
            </m:ctrlPr>
          </m:sub>
          <m:sup>
            <m:ctrlPr>
              <w:rPr>
                <w:rFonts w:ascii="Cambria Math" w:hAnsi="Cambria Math" w:cs="宋体"/>
                <w:i/>
                <w:color w:val="000000" w:themeColor="text1"/>
                <w:sz w:val="24"/>
                <w:szCs w:val="24"/>
                <w:lang w:val="en-US"/>
                <w14:textFill>
                  <w14:solidFill>
                    <w14:schemeClr w14:val="tx1"/>
                  </w14:solidFill>
                </w14:textFill>
              </w:rPr>
            </m:ctrlPr>
          </m:sup>
          <m:e>
            <m:ctrlPr>
              <w:rPr>
                <w:rFonts w:ascii="Cambria Math" w:hAnsi="Cambria Math" w:cs="宋体"/>
                <w:i/>
                <w:color w:val="000000" w:themeColor="text1"/>
                <w:sz w:val="24"/>
                <w:szCs w:val="24"/>
                <w:lang w:val="en-US"/>
                <w14:textFill>
                  <w14:solidFill>
                    <w14:schemeClr w14:val="tx1"/>
                  </w14:solidFill>
                </w14:textFill>
              </w:rPr>
            </m:ctrlPr>
          </m:e>
        </m:nary>
      </m:oMath>
      <w:r>
        <w:rPr>
          <w:rFonts w:hint="eastAsia" w:ascii="Cambria Math" w:hAnsi="Cambria Math" w:eastAsia="宋体" w:cs="宋体"/>
          <w:i w:val="0"/>
          <w:iCs/>
          <w:color w:val="000000" w:themeColor="text1"/>
          <w:sz w:val="40"/>
          <w:szCs w:val="40"/>
          <w:lang w:val="en-US" w:eastAsia="zh-CN"/>
          <w14:textFill>
            <w14:solidFill>
              <w14:schemeClr w14:val="tx1"/>
            </w14:solidFill>
          </w14:textFill>
        </w:rPr>
        <w:t>[</w:t>
      </w:r>
      <m:oMath>
        <m:nary>
          <m:naryPr>
            <m:chr m:val="∑"/>
            <m:limLoc m:val="undOvr"/>
            <m:supHide m:val="1"/>
            <m:ctrlPr>
              <w:rPr>
                <w:rFonts w:ascii="Cambria Math" w:hAnsi="Cambria Math" w:cs="宋体"/>
                <w:i/>
                <w:color w:val="000000" w:themeColor="text1"/>
                <w:sz w:val="24"/>
                <w:szCs w:val="24"/>
                <w:lang w:val="en-US"/>
                <w14:textFill>
                  <w14:solidFill>
                    <w14:schemeClr w14:val="tx1"/>
                  </w14:solidFill>
                </w14:textFill>
              </w:rPr>
            </m:ctrlPr>
          </m:naryPr>
          <m:sub>
            <m:r>
              <m:rPr/>
              <w:rPr>
                <w:rFonts w:hint="default" w:ascii="Cambria Math" w:hAnsi="Cambria Math" w:eastAsia="宋体" w:cs="宋体"/>
                <w:color w:val="000000" w:themeColor="text1"/>
                <w:sz w:val="24"/>
                <w:szCs w:val="24"/>
                <w:lang w:val="en-US" w:eastAsia="zh-CN"/>
                <w14:textFill>
                  <w14:solidFill>
                    <w14:schemeClr w14:val="tx1"/>
                  </w14:solidFill>
                </w14:textFill>
              </w:rPr>
              <m:t>i</m:t>
            </m:r>
            <m:ctrlPr>
              <w:rPr>
                <w:rFonts w:ascii="Cambria Math" w:hAnsi="Cambria Math" w:cs="宋体"/>
                <w:i/>
                <w:color w:val="000000" w:themeColor="text1"/>
                <w:sz w:val="24"/>
                <w:szCs w:val="24"/>
                <w:lang w:val="en-US"/>
                <w14:textFill>
                  <w14:solidFill>
                    <w14:schemeClr w14:val="tx1"/>
                  </w14:solidFill>
                </w14:textFill>
              </w:rPr>
            </m:ctrlPr>
          </m:sub>
          <m:sup>
            <m:ctrlPr>
              <w:rPr>
                <w:rFonts w:ascii="Cambria Math" w:hAnsi="Cambria Math" w:cs="宋体"/>
                <w:i/>
                <w:color w:val="000000" w:themeColor="text1"/>
                <w:sz w:val="24"/>
                <w:szCs w:val="24"/>
                <w:lang w:val="en-US"/>
                <w14:textFill>
                  <w14:solidFill>
                    <w14:schemeClr w14:val="tx1"/>
                  </w14:solidFill>
                </w14:textFill>
              </w:rPr>
            </m:ctrlPr>
          </m:sup>
          <m:e>
            <m:ctrlPr>
              <w:rPr>
                <w:rFonts w:ascii="Cambria Math" w:hAnsi="Cambria Math" w:cs="宋体"/>
                <w:i/>
                <w:color w:val="000000" w:themeColor="text1"/>
                <w:sz w:val="24"/>
                <w:szCs w:val="24"/>
                <w:lang w:val="en-US"/>
                <w14:textFill>
                  <w14:solidFill>
                    <w14:schemeClr w14:val="tx1"/>
                  </w14:solidFill>
                </w14:textFill>
              </w:rPr>
            </m:ctrlPr>
          </m:e>
        </m:nary>
      </m:oMath>
      <w:r>
        <w:rPr>
          <w:rFonts w:hint="eastAsia" w:hAnsi="Cambria Math" w:eastAsia="宋体" w:cs="宋体"/>
          <w:i w:val="0"/>
          <w:color w:val="000000" w:themeColor="text1"/>
          <w:sz w:val="24"/>
          <w:szCs w:val="24"/>
          <w:lang w:val="en-US" w:eastAsia="zh-CN"/>
          <w14:textFill>
            <w14:solidFill>
              <w14:schemeClr w14:val="tx1"/>
            </w14:solidFill>
          </w14:textFill>
        </w:rPr>
        <w:t>(</w:t>
      </w:r>
      <w:r>
        <w:rPr>
          <w:rFonts w:hint="eastAsia" w:ascii="Cambria Math" w:hAnsi="Cambria Math" w:eastAsia="宋体" w:cs="宋体"/>
          <w:i/>
          <w:color w:val="000000" w:themeColor="text1"/>
          <w:sz w:val="24"/>
          <w:szCs w:val="24"/>
          <w:lang w:val="en-US" w:eastAsia="zh-CN"/>
          <w14:textFill>
            <w14:solidFill>
              <w14:schemeClr w14:val="tx1"/>
            </w14:solidFill>
          </w14:textFill>
        </w:rPr>
        <w:t>AD</w:t>
      </w:r>
      <w:r>
        <w:rPr>
          <w:rFonts w:hint="eastAsia" w:ascii="Cambria Math" w:hAnsi="Cambria Math" w:eastAsia="宋体" w:cs="宋体"/>
          <w:i/>
          <w:color w:val="000000" w:themeColor="text1"/>
          <w:sz w:val="15"/>
          <w:szCs w:val="15"/>
          <w:lang w:val="en-US" w:eastAsia="zh-CN"/>
          <w14:textFill>
            <w14:solidFill>
              <w14:schemeClr w14:val="tx1"/>
            </w14:solidFill>
          </w14:textFill>
        </w:rPr>
        <w:t xml:space="preserve">i </w:t>
      </w:r>
      <w:r>
        <w:rPr>
          <w:rFonts w:hint="eastAsia" w:ascii="Cambria Math" w:hAnsi="Cambria Math" w:eastAsia="宋体" w:cs="宋体"/>
          <w:i/>
          <w:color w:val="000000" w:themeColor="text1"/>
          <w:sz w:val="20"/>
          <w:szCs w:val="20"/>
          <w:lang w:val="en-US" w:eastAsia="zh-CN"/>
          <w14:textFill>
            <w14:solidFill>
              <w14:schemeClr w14:val="tx1"/>
            </w14:solidFill>
          </w14:textFill>
        </w:rPr>
        <w:t xml:space="preserve"> </w:t>
      </w:r>
      <m:oMath>
        <m:r>
          <m:rPr>
            <m:sty m:val="p"/>
          </m:rPr>
          <w:rPr>
            <w:rFonts w:ascii="Cambria Math" w:hAnsi="Cambria Math" w:cs="宋体"/>
            <w:color w:val="000000" w:themeColor="text1"/>
            <w:sz w:val="20"/>
            <w:szCs w:val="20"/>
            <w:lang w:val="en-US"/>
            <w14:textFill>
              <w14:solidFill>
                <w14:schemeClr w14:val="tx1"/>
              </w14:solidFill>
            </w14:textFill>
          </w:rPr>
          <m:t>×</m:t>
        </m:r>
      </m:oMath>
      <w:r>
        <w:rPr>
          <w:rFonts w:hint="eastAsia" w:hAnsi="Cambria Math" w:eastAsia="宋体" w:cs="宋体"/>
          <w:i/>
          <w:color w:val="000000" w:themeColor="text1"/>
          <w:sz w:val="20"/>
          <w:szCs w:val="20"/>
          <w:lang w:val="en-US" w:eastAsia="zh-CN"/>
          <w14:textFill>
            <w14:solidFill>
              <w14:schemeClr w14:val="tx1"/>
            </w14:solidFill>
          </w14:textFill>
        </w:rPr>
        <w:t xml:space="preserve"> </w:t>
      </w:r>
      <w:r>
        <w:rPr>
          <w:rFonts w:hint="eastAsia" w:ascii="Cambria Math" w:hAnsi="Cambria Math" w:eastAsia="宋体" w:cs="宋体"/>
          <w:i/>
          <w:color w:val="000000" w:themeColor="text1"/>
          <w:sz w:val="24"/>
          <w:szCs w:val="24"/>
          <w:lang w:val="en-US" w:eastAsia="zh-CN"/>
          <w14:textFill>
            <w14:solidFill>
              <w14:schemeClr w14:val="tx1"/>
            </w14:solidFill>
          </w14:textFill>
        </w:rPr>
        <w:t>EF</w:t>
      </w:r>
      <w:r>
        <w:rPr>
          <w:rFonts w:hint="eastAsia" w:ascii="Cambria Math" w:hAnsi="Cambria Math" w:eastAsia="宋体" w:cs="宋体"/>
          <w:i/>
          <w:color w:val="000000" w:themeColor="text1"/>
          <w:sz w:val="15"/>
          <w:szCs w:val="15"/>
          <w:lang w:val="en-US" w:eastAsia="zh-CN"/>
          <w14:textFill>
            <w14:solidFill>
              <w14:schemeClr w14:val="tx1"/>
            </w14:solidFill>
          </w14:textFill>
        </w:rPr>
        <w:t>LCA,i,j</w:t>
      </w:r>
      <w:r>
        <w:rPr>
          <w:rFonts w:hint="eastAsia" w:hAnsi="Cambria Math" w:eastAsia="宋体" w:cs="宋体"/>
          <w:i w:val="0"/>
          <w:color w:val="000000" w:themeColor="text1"/>
          <w:sz w:val="24"/>
          <w:szCs w:val="24"/>
          <w:lang w:val="en-US" w:eastAsia="zh-CN"/>
          <w14:textFill>
            <w14:solidFill>
              <w14:schemeClr w14:val="tx1"/>
            </w14:solidFill>
          </w14:textFill>
        </w:rPr>
        <w:t xml:space="preserve">) </w:t>
      </w:r>
      <m:oMath>
        <m:r>
          <m:rPr>
            <m:sty m:val="p"/>
          </m:rPr>
          <w:rPr>
            <w:rFonts w:ascii="Cambria Math" w:hAnsi="Cambria Math" w:cs="宋体"/>
            <w:color w:val="000000" w:themeColor="text1"/>
            <w:sz w:val="20"/>
            <w:szCs w:val="20"/>
            <w:lang w:val="en-US"/>
            <w14:textFill>
              <w14:solidFill>
                <w14:schemeClr w14:val="tx1"/>
              </w14:solidFill>
            </w14:textFill>
          </w:rPr>
          <m:t>×</m:t>
        </m:r>
      </m:oMath>
      <w:r>
        <w:rPr>
          <w:rFonts w:hint="eastAsia" w:hAnsi="Cambria Math" w:eastAsia="宋体" w:cs="宋体"/>
          <w:b w:val="0"/>
          <w:i w:val="0"/>
          <w:color w:val="000000" w:themeColor="text1"/>
          <w:sz w:val="20"/>
          <w:szCs w:val="20"/>
          <w:lang w:val="en-US" w:eastAsia="zh-CN"/>
          <w14:textFill>
            <w14:solidFill>
              <w14:schemeClr w14:val="tx1"/>
            </w14:solidFill>
          </w14:textFill>
        </w:rPr>
        <w:t xml:space="preserve"> </w:t>
      </w:r>
      <w:r>
        <w:rPr>
          <w:rFonts w:hint="eastAsia" w:ascii="Cambria Math" w:hAnsi="Cambria Math" w:eastAsia="宋体" w:cs="宋体"/>
          <w:i/>
          <w:color w:val="000000" w:themeColor="text1"/>
          <w:sz w:val="24"/>
          <w:szCs w:val="24"/>
          <w:lang w:val="en-US" w:eastAsia="zh-CN"/>
          <w14:textFill>
            <w14:solidFill>
              <w14:schemeClr w14:val="tx1"/>
            </w14:solidFill>
          </w14:textFill>
        </w:rPr>
        <w:t>GWP</w:t>
      </w:r>
      <w:r>
        <w:rPr>
          <w:rFonts w:hint="eastAsia" w:ascii="Cambria Math" w:hAnsi="Cambria Math" w:eastAsia="宋体" w:cs="宋体"/>
          <w:i/>
          <w:color w:val="000000" w:themeColor="text1"/>
          <w:sz w:val="15"/>
          <w:szCs w:val="15"/>
          <w:lang w:val="en-US" w:eastAsia="zh-CN"/>
          <w14:textFill>
            <w14:solidFill>
              <w14:schemeClr w14:val="tx1"/>
            </w14:solidFill>
          </w14:textFill>
        </w:rPr>
        <w:t>j</w:t>
      </w:r>
      <w:r>
        <w:rPr>
          <w:rFonts w:hint="eastAsia" w:ascii="Cambria Math" w:hAnsi="Cambria Math" w:eastAsia="宋体" w:cs="宋体"/>
          <w:i w:val="0"/>
          <w:iCs/>
          <w:color w:val="000000" w:themeColor="text1"/>
          <w:sz w:val="40"/>
          <w:szCs w:val="40"/>
          <w:lang w:val="en-US" w:eastAsia="zh-CN"/>
          <w14:textFill>
            <w14:solidFill>
              <w14:schemeClr w14:val="tx1"/>
            </w14:solidFill>
          </w14:textFill>
        </w:rPr>
        <w:t>]</w:t>
      </w:r>
      <w:r>
        <w:rPr>
          <w:rFonts w:hint="eastAsia" w:hAnsi="Cambria Math" w:eastAsia="宋体" w:cs="宋体"/>
          <w:i w:val="0"/>
          <w:color w:val="000000" w:themeColor="text1"/>
          <w:sz w:val="24"/>
          <w:szCs w:val="24"/>
          <w:lang w:val="en-US" w:eastAsia="zh-CN"/>
          <w14:textFill>
            <w14:solidFill>
              <w14:schemeClr w14:val="tx1"/>
            </w14:solidFill>
          </w14:textFill>
        </w:rPr>
        <w:t>................................(1)</w:t>
      </w:r>
    </w:p>
    <w:p w14:paraId="66F4EA05">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式中：</w:t>
      </w:r>
    </w:p>
    <w:p w14:paraId="2408BC5C">
      <w:pPr>
        <w:spacing w:line="360" w:lineRule="auto"/>
        <w:ind w:firstLine="480" w:firstLineChars="200"/>
        <w:rPr>
          <w:rFonts w:hint="eastAsia" w:ascii="Cambria Math" w:hAnsi="Cambria Math" w:cs="宋体"/>
          <w:i w:val="0"/>
          <w:iCs/>
          <w:color w:val="000000" w:themeColor="text1"/>
          <w:sz w:val="24"/>
          <w:szCs w:val="24"/>
          <w:lang w:val="en-US" w:eastAsia="zh-CN"/>
          <w14:textFill>
            <w14:solidFill>
              <w14:schemeClr w14:val="tx1"/>
            </w14:solidFill>
          </w14:textFill>
        </w:rPr>
      </w:pPr>
      <w:r>
        <w:rPr>
          <w:rFonts w:hint="eastAsia" w:ascii="Cambria Math" w:hAnsi="Cambria Math" w:eastAsia="宋体" w:cs="宋体"/>
          <w:i/>
          <w:color w:val="000000" w:themeColor="text1"/>
          <w:sz w:val="24"/>
          <w:szCs w:val="24"/>
          <w:lang w:val="en-US" w:eastAsia="zh-CN"/>
          <w14:textFill>
            <w14:solidFill>
              <w14:schemeClr w14:val="tx1"/>
            </w14:solidFill>
          </w14:textFill>
        </w:rPr>
        <w:t>CFP</w:t>
      </w:r>
      <w:r>
        <w:rPr>
          <w:rFonts w:hint="eastAsia" w:ascii="Cambria Math" w:hAnsi="Cambria Math" w:eastAsia="宋体" w:cs="宋体"/>
          <w:i/>
          <w:color w:val="000000" w:themeColor="text1"/>
          <w:sz w:val="15"/>
          <w:szCs w:val="15"/>
          <w:lang w:val="en-US" w:eastAsia="zh-CN"/>
          <w14:textFill>
            <w14:solidFill>
              <w14:schemeClr w14:val="tx1"/>
            </w14:solidFill>
          </w14:textFill>
        </w:rPr>
        <w:t xml:space="preserve">GHG </w:t>
      </w:r>
      <w:r>
        <w:rPr>
          <w:rFonts w:hint="eastAsia" w:ascii="Cambria Math" w:hAnsi="Cambria Math" w:cs="宋体"/>
          <w:i w:val="0"/>
          <w:iCs/>
          <w:color w:val="000000" w:themeColor="text1"/>
          <w:sz w:val="24"/>
          <w:szCs w:val="24"/>
          <w:lang w:val="en-US" w:eastAsia="zh-CN"/>
          <w14:textFill>
            <w14:solidFill>
              <w14:schemeClr w14:val="tx1"/>
            </w14:solidFill>
          </w14:textFill>
        </w:rPr>
        <w:t>—产品碳足迹或产品部分碳足迹，以千克二氧化碳当量每功能单位或声明单位(kgCO</w:t>
      </w:r>
      <w:r>
        <w:rPr>
          <w:rFonts w:hint="eastAsia" w:ascii="Cambria Math" w:hAnsi="Cambria Math" w:cs="宋体"/>
          <w:i w:val="0"/>
          <w:iCs/>
          <w:color w:val="000000" w:themeColor="text1"/>
          <w:sz w:val="16"/>
          <w:szCs w:val="16"/>
          <w:lang w:val="en-US" w:eastAsia="zh-CN"/>
          <w14:textFill>
            <w14:solidFill>
              <w14:schemeClr w14:val="tx1"/>
            </w14:solidFill>
          </w14:textFill>
        </w:rPr>
        <w:t>2</w:t>
      </w:r>
      <w:r>
        <w:rPr>
          <w:rFonts w:hint="eastAsia" w:ascii="Cambria Math" w:hAnsi="Cambria Math" w:cs="宋体"/>
          <w:i w:val="0"/>
          <w:iCs/>
          <w:color w:val="000000" w:themeColor="text1"/>
          <w:sz w:val="24"/>
          <w:szCs w:val="24"/>
          <w:lang w:val="en-US" w:eastAsia="zh-CN"/>
          <w14:textFill>
            <w14:solidFill>
              <w14:schemeClr w14:val="tx1"/>
            </w14:solidFill>
          </w14:textFill>
        </w:rPr>
        <w:t>e/功能单位或声明单位)计；</w:t>
      </w:r>
    </w:p>
    <w:p w14:paraId="4D5DA451">
      <w:pPr>
        <w:spacing w:line="360" w:lineRule="auto"/>
        <w:ind w:firstLine="480" w:firstLineChars="200"/>
        <w:rPr>
          <w:rFonts w:hint="eastAsia" w:ascii="Cambria Math" w:hAnsi="Cambria Math" w:cs="宋体"/>
          <w:i w:val="0"/>
          <w:iCs/>
          <w:color w:val="000000" w:themeColor="text1"/>
          <w:sz w:val="24"/>
          <w:szCs w:val="24"/>
          <w:lang w:val="en-US" w:eastAsia="zh-CN"/>
          <w14:textFill>
            <w14:solidFill>
              <w14:schemeClr w14:val="tx1"/>
            </w14:solidFill>
          </w14:textFill>
        </w:rPr>
      </w:pPr>
      <w:r>
        <w:rPr>
          <w:rFonts w:hint="eastAsia" w:ascii="Cambria Math" w:hAnsi="Cambria Math" w:eastAsia="宋体" w:cs="宋体"/>
          <w:i/>
          <w:color w:val="000000" w:themeColor="text1"/>
          <w:sz w:val="24"/>
          <w:szCs w:val="24"/>
          <w:lang w:val="en-US" w:eastAsia="zh-CN"/>
          <w14:textFill>
            <w14:solidFill>
              <w14:schemeClr w14:val="tx1"/>
            </w14:solidFill>
          </w14:textFill>
        </w:rPr>
        <w:t>AD</w:t>
      </w:r>
      <w:r>
        <w:rPr>
          <w:rFonts w:hint="eastAsia" w:ascii="Cambria Math" w:hAnsi="Cambria Math" w:eastAsia="宋体" w:cs="宋体"/>
          <w:i/>
          <w:color w:val="000000" w:themeColor="text1"/>
          <w:sz w:val="15"/>
          <w:szCs w:val="15"/>
          <w:lang w:val="en-US" w:eastAsia="zh-CN"/>
          <w14:textFill>
            <w14:solidFill>
              <w14:schemeClr w14:val="tx1"/>
            </w14:solidFill>
          </w14:textFill>
        </w:rPr>
        <w:t xml:space="preserve">i </w:t>
      </w:r>
      <w:r>
        <w:rPr>
          <w:rFonts w:hint="eastAsia" w:ascii="Cambria Math" w:hAnsi="Cambria Math" w:cs="宋体"/>
          <w:i w:val="0"/>
          <w:iCs/>
          <w:color w:val="000000" w:themeColor="text1"/>
          <w:sz w:val="24"/>
          <w:szCs w:val="24"/>
          <w:lang w:val="en-US" w:eastAsia="zh-CN"/>
          <w14:textFill>
            <w14:solidFill>
              <w14:schemeClr w14:val="tx1"/>
            </w14:solidFill>
          </w14:textFill>
        </w:rPr>
        <w:t>—系统边界内，各功能单位（声明单位）中第</w:t>
      </w:r>
      <w:r>
        <w:rPr>
          <w:rFonts w:hint="eastAsia" w:ascii="Cambria Math" w:hAnsi="Cambria Math" w:eastAsia="宋体" w:cs="宋体"/>
          <w:i/>
          <w:color w:val="000000" w:themeColor="text1"/>
          <w:sz w:val="28"/>
          <w:szCs w:val="28"/>
          <w:lang w:val="en-US" w:eastAsia="zh-CN"/>
          <w14:textFill>
            <w14:solidFill>
              <w14:schemeClr w14:val="tx1"/>
            </w14:solidFill>
          </w14:textFill>
        </w:rPr>
        <w:t xml:space="preserve">i </w:t>
      </w:r>
      <w:r>
        <w:rPr>
          <w:rFonts w:hint="eastAsia" w:ascii="Cambria Math" w:hAnsi="Cambria Math" w:cs="宋体"/>
          <w:i w:val="0"/>
          <w:iCs/>
          <w:color w:val="000000" w:themeColor="text1"/>
          <w:sz w:val="24"/>
          <w:szCs w:val="24"/>
          <w:lang w:val="en-US" w:eastAsia="zh-CN"/>
          <w14:textFill>
            <w14:solidFill>
              <w14:schemeClr w14:val="tx1"/>
            </w14:solidFill>
          </w14:textFill>
        </w:rPr>
        <w:t>种活动的GHG排放和清除相关数据（包括初级数据和次级数据)，单位根据具体排放源确定；</w:t>
      </w:r>
    </w:p>
    <w:p w14:paraId="3ADDAC38">
      <w:pPr>
        <w:spacing w:line="360" w:lineRule="auto"/>
        <w:ind w:firstLine="480" w:firstLineChars="200"/>
        <w:rPr>
          <w:rFonts w:hint="eastAsia" w:ascii="Cambria Math" w:hAnsi="Cambria Math" w:cs="宋体"/>
          <w:i w:val="0"/>
          <w:iCs/>
          <w:color w:val="000000" w:themeColor="text1"/>
          <w:sz w:val="24"/>
          <w:szCs w:val="24"/>
          <w:lang w:val="en-US" w:eastAsia="zh-CN"/>
          <w14:textFill>
            <w14:solidFill>
              <w14:schemeClr w14:val="tx1"/>
            </w14:solidFill>
          </w14:textFill>
        </w:rPr>
      </w:pPr>
      <w:r>
        <w:rPr>
          <w:rFonts w:hint="eastAsia" w:ascii="Cambria Math" w:hAnsi="Cambria Math" w:eastAsia="宋体" w:cs="宋体"/>
          <w:i/>
          <w:color w:val="000000" w:themeColor="text1"/>
          <w:sz w:val="24"/>
          <w:szCs w:val="24"/>
          <w:lang w:val="en-US" w:eastAsia="zh-CN"/>
          <w14:textFill>
            <w14:solidFill>
              <w14:schemeClr w14:val="tx1"/>
            </w14:solidFill>
          </w14:textFill>
        </w:rPr>
        <w:t>EF</w:t>
      </w:r>
      <w:r>
        <w:rPr>
          <w:rFonts w:hint="eastAsia" w:ascii="Cambria Math" w:hAnsi="Cambria Math" w:eastAsia="宋体" w:cs="宋体"/>
          <w:i/>
          <w:color w:val="000000" w:themeColor="text1"/>
          <w:sz w:val="15"/>
          <w:szCs w:val="15"/>
          <w:lang w:val="en-US" w:eastAsia="zh-CN"/>
          <w14:textFill>
            <w14:solidFill>
              <w14:schemeClr w14:val="tx1"/>
            </w14:solidFill>
          </w14:textFill>
        </w:rPr>
        <w:t xml:space="preserve">LCA,i,j  </w:t>
      </w:r>
      <w:r>
        <w:rPr>
          <w:rFonts w:hint="eastAsia" w:ascii="Cambria Math" w:hAnsi="Cambria Math" w:cs="宋体"/>
          <w:i w:val="0"/>
          <w:iCs/>
          <w:color w:val="000000" w:themeColor="text1"/>
          <w:sz w:val="24"/>
          <w:szCs w:val="24"/>
          <w:lang w:val="en-US" w:eastAsia="zh-CN"/>
          <w14:textFill>
            <w14:solidFill>
              <w14:schemeClr w14:val="tx1"/>
            </w14:solidFill>
          </w14:textFill>
        </w:rPr>
        <w:t>—第</w:t>
      </w:r>
      <w:r>
        <w:rPr>
          <w:rFonts w:hint="eastAsia" w:ascii="Cambria Math" w:hAnsi="Cambria Math" w:eastAsia="宋体" w:cs="宋体"/>
          <w:i/>
          <w:color w:val="000000" w:themeColor="text1"/>
          <w:sz w:val="28"/>
          <w:szCs w:val="28"/>
          <w:lang w:val="en-US" w:eastAsia="zh-CN"/>
          <w14:textFill>
            <w14:solidFill>
              <w14:schemeClr w14:val="tx1"/>
            </w14:solidFill>
          </w14:textFill>
        </w:rPr>
        <w:t xml:space="preserve">i </w:t>
      </w:r>
      <w:r>
        <w:rPr>
          <w:rFonts w:hint="eastAsia" w:ascii="Cambria Math" w:hAnsi="Cambria Math" w:cs="宋体"/>
          <w:i w:val="0"/>
          <w:iCs/>
          <w:color w:val="000000" w:themeColor="text1"/>
          <w:sz w:val="24"/>
          <w:szCs w:val="24"/>
          <w:lang w:val="en-US" w:eastAsia="zh-CN"/>
          <w14:textFill>
            <w14:solidFill>
              <w14:schemeClr w14:val="tx1"/>
            </w14:solidFill>
          </w14:textFill>
        </w:rPr>
        <w:t>种活动对应的温室气体j的排放系数因子，单位与GHG活动数据相匹配，温室气体</w:t>
      </w:r>
      <w:r>
        <w:rPr>
          <w:rFonts w:hint="eastAsia" w:ascii="宋体" w:hAnsi="宋体" w:eastAsia="宋体" w:cs="宋体"/>
          <w:i w:val="0"/>
          <w:iCs/>
          <w:color w:val="000000" w:themeColor="text1"/>
          <w:sz w:val="24"/>
          <w:szCs w:val="24"/>
          <w14:textFill>
            <w14:solidFill>
              <w14:schemeClr w14:val="tx1"/>
            </w14:solidFill>
          </w14:textFill>
        </w:rPr>
        <w:t>排放因子源于</w:t>
      </w:r>
      <w:r>
        <w:rPr>
          <w:rFonts w:hint="eastAsia" w:ascii="宋体" w:hAnsi="宋体" w:eastAsia="宋体" w:cs="宋体"/>
          <w:i w:val="0"/>
          <w:iCs/>
          <w:color w:val="000000" w:themeColor="text1"/>
          <w:sz w:val="24"/>
          <w:szCs w:val="24"/>
          <w:lang w:val="en-US" w:eastAsia="zh-CN"/>
          <w14:textFill>
            <w14:solidFill>
              <w14:schemeClr w14:val="tx1"/>
            </w14:solidFill>
          </w14:textFill>
        </w:rPr>
        <w:t>国家生态环境部、国家统计局公布的数据、</w:t>
      </w:r>
      <w:r>
        <w:rPr>
          <w:rFonts w:hint="eastAsia" w:ascii="宋体" w:hAnsi="宋体" w:eastAsia="宋体" w:cs="宋体"/>
          <w:i w:val="0"/>
          <w:iCs/>
          <w:color w:val="000000" w:themeColor="text1"/>
          <w:sz w:val="24"/>
          <w:szCs w:val="24"/>
          <w14:textFill>
            <w14:solidFill>
              <w14:schemeClr w14:val="tx1"/>
            </w14:solidFill>
          </w14:textFill>
        </w:rPr>
        <w:t>EFDB</w:t>
      </w:r>
      <w:r>
        <w:rPr>
          <w:rFonts w:hint="eastAsia" w:ascii="宋体" w:hAnsi="宋体" w:eastAsia="宋体" w:cs="宋体"/>
          <w:i w:val="0"/>
          <w:iCs/>
          <w:color w:val="000000" w:themeColor="text1"/>
          <w:sz w:val="24"/>
          <w:szCs w:val="24"/>
          <w:lang w:eastAsia="zh-CN"/>
          <w14:textFill>
            <w14:solidFill>
              <w14:schemeClr w14:val="tx1"/>
            </w14:solidFill>
          </w14:textFill>
        </w:rPr>
        <w:t>、</w:t>
      </w:r>
      <w:r>
        <w:rPr>
          <w:rFonts w:hint="eastAsia" w:ascii="宋体" w:hAnsi="宋体" w:eastAsia="宋体" w:cs="宋体"/>
          <w:i w:val="0"/>
          <w:iCs/>
          <w:color w:val="000000" w:themeColor="text1"/>
          <w:sz w:val="24"/>
          <w:szCs w:val="24"/>
          <w14:textFill>
            <w14:solidFill>
              <w14:schemeClr w14:val="tx1"/>
            </w14:solidFill>
          </w14:textFill>
        </w:rPr>
        <w:t>CPCD、CLCD数据库、标准、文献资料</w:t>
      </w:r>
      <w:r>
        <w:rPr>
          <w:rFonts w:hint="eastAsia" w:ascii="宋体" w:hAnsi="宋体" w:eastAsia="宋体" w:cs="宋体"/>
          <w:color w:val="000000" w:themeColor="text1"/>
          <w:sz w:val="24"/>
          <w:szCs w:val="24"/>
          <w14:textFill>
            <w14:solidFill>
              <w14:schemeClr w14:val="tx1"/>
            </w14:solidFill>
          </w14:textFill>
        </w:rPr>
        <w:t>，由于部分物料数据库中暂无排放因子，取值均</w:t>
      </w:r>
      <w:r>
        <w:rPr>
          <w:rFonts w:hint="eastAsia" w:ascii="宋体" w:hAnsi="宋体" w:eastAsia="宋体" w:cs="宋体"/>
          <w:color w:val="000000" w:themeColor="text1"/>
          <w:sz w:val="24"/>
          <w:szCs w:val="24"/>
          <w:lang w:eastAsia="zh-CN"/>
          <w14:textFill>
            <w14:solidFill>
              <w14:schemeClr w14:val="tx1"/>
            </w14:solidFill>
          </w14:textFill>
        </w:rPr>
        <w:t>来自</w:t>
      </w:r>
      <w:r>
        <w:rPr>
          <w:rFonts w:hint="eastAsia" w:ascii="宋体" w:hAnsi="宋体" w:eastAsia="宋体" w:cs="宋体"/>
          <w:color w:val="000000" w:themeColor="text1"/>
          <w:sz w:val="24"/>
          <w:szCs w:val="24"/>
          <w14:textFill>
            <w14:solidFill>
              <w14:schemeClr w14:val="tx1"/>
            </w14:solidFill>
          </w14:textFill>
        </w:rPr>
        <w:t>相近物料排放因子</w:t>
      </w:r>
      <w:r>
        <w:rPr>
          <w:rFonts w:hint="eastAsia" w:ascii="Cambria Math" w:hAnsi="Cambria Math" w:cs="宋体"/>
          <w:i w:val="0"/>
          <w:iCs/>
          <w:color w:val="000000" w:themeColor="text1"/>
          <w:sz w:val="24"/>
          <w:szCs w:val="24"/>
          <w:lang w:val="en-US" w:eastAsia="zh-CN"/>
          <w14:textFill>
            <w14:solidFill>
              <w14:schemeClr w14:val="tx1"/>
            </w14:solidFill>
          </w14:textFill>
        </w:rPr>
        <w:t>；</w:t>
      </w:r>
    </w:p>
    <w:p w14:paraId="218F9297">
      <w:pPr>
        <w:spacing w:line="360" w:lineRule="auto"/>
        <w:ind w:firstLine="480" w:firstLineChars="200"/>
        <w:rPr>
          <w:rFonts w:hint="eastAsia" w:ascii="Cambria Math" w:hAnsi="Cambria Math" w:cs="宋体"/>
          <w:i w:val="0"/>
          <w:iCs/>
          <w:color w:val="000000" w:themeColor="text1"/>
          <w:sz w:val="24"/>
          <w:szCs w:val="24"/>
          <w:lang w:val="en-US" w:eastAsia="zh-CN"/>
          <w14:textFill>
            <w14:solidFill>
              <w14:schemeClr w14:val="tx1"/>
            </w14:solidFill>
          </w14:textFill>
        </w:rPr>
      </w:pPr>
      <w:r>
        <w:rPr>
          <w:rFonts w:hint="eastAsia" w:ascii="Cambria Math" w:hAnsi="Cambria Math" w:eastAsia="宋体" w:cs="宋体"/>
          <w:i/>
          <w:color w:val="000000" w:themeColor="text1"/>
          <w:sz w:val="24"/>
          <w:szCs w:val="24"/>
          <w:lang w:val="en-US" w:eastAsia="zh-CN"/>
          <w14:textFill>
            <w14:solidFill>
              <w14:schemeClr w14:val="tx1"/>
            </w14:solidFill>
          </w14:textFill>
        </w:rPr>
        <w:t>GWP</w:t>
      </w:r>
      <w:r>
        <w:rPr>
          <w:rFonts w:hint="eastAsia" w:ascii="Cambria Math" w:hAnsi="Cambria Math" w:eastAsia="宋体" w:cs="宋体"/>
          <w:i/>
          <w:color w:val="000000" w:themeColor="text1"/>
          <w:sz w:val="15"/>
          <w:szCs w:val="15"/>
          <w:lang w:val="en-US" w:eastAsia="zh-CN"/>
          <w14:textFill>
            <w14:solidFill>
              <w14:schemeClr w14:val="tx1"/>
            </w14:solidFill>
          </w14:textFill>
        </w:rPr>
        <w:t xml:space="preserve">j  </w:t>
      </w:r>
      <w:r>
        <w:rPr>
          <w:rFonts w:hint="eastAsia" w:ascii="Cambria Math" w:hAnsi="Cambria Math" w:cs="宋体"/>
          <w:i w:val="0"/>
          <w:iCs/>
          <w:color w:val="000000" w:themeColor="text1"/>
          <w:sz w:val="24"/>
          <w:szCs w:val="24"/>
          <w:lang w:val="en-US" w:eastAsia="zh-CN"/>
          <w14:textFill>
            <w14:solidFill>
              <w14:schemeClr w14:val="tx1"/>
            </w14:solidFill>
          </w14:textFill>
        </w:rPr>
        <w:t>—温室气体j的GWP值，按照政府间气候变化专门委员会（IPCC）给出的 100 年全球变暖潜势（GWP）规定进行取值。</w:t>
      </w:r>
    </w:p>
    <w:p w14:paraId="6A639D68">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151C1B13">
      <w:pPr>
        <w:spacing w:line="360" w:lineRule="auto"/>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参考《</w:t>
      </w:r>
      <w:r>
        <w:rPr>
          <w:rFonts w:hint="eastAsia" w:ascii="宋体" w:hAnsi="宋体" w:eastAsia="宋体" w:cs="宋体"/>
          <w:color w:val="000000" w:themeColor="text1"/>
          <w:sz w:val="24"/>
          <w:szCs w:val="24"/>
          <w14:textFill>
            <w14:solidFill>
              <w14:schemeClr w14:val="tx1"/>
            </w14:solidFill>
          </w14:textFill>
        </w:rPr>
        <w:t>工业其他企业温室气体排放核算方法与报告指南（试行）</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的要求</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产品</w:t>
      </w:r>
      <w:r>
        <w:rPr>
          <w:rFonts w:hint="eastAsia" w:ascii="宋体" w:hAnsi="宋体" w:eastAsia="宋体" w:cs="宋体"/>
          <w:color w:val="000000" w:themeColor="text1"/>
          <w:sz w:val="24"/>
          <w:szCs w:val="24"/>
          <w:lang w:val="en-US" w:eastAsia="zh-CN"/>
          <w14:textFill>
            <w14:solidFill>
              <w14:schemeClr w14:val="tx1"/>
            </w14:solidFill>
          </w14:textFill>
        </w:rPr>
        <w:t>生命周期各个阶段</w:t>
      </w:r>
      <w:r>
        <w:rPr>
          <w:rFonts w:hint="eastAsia" w:ascii="宋体" w:hAnsi="宋体" w:eastAsia="宋体" w:cs="宋体"/>
          <w:color w:val="000000" w:themeColor="text1"/>
          <w:sz w:val="24"/>
          <w:szCs w:val="24"/>
          <w14:textFill>
            <w14:solidFill>
              <w14:schemeClr w14:val="tx1"/>
            </w14:solidFill>
          </w14:textFill>
        </w:rPr>
        <w:t>化石燃料燃烧 CO</w:t>
      </w:r>
      <w:r>
        <w:rPr>
          <w:rFonts w:hint="eastAsia" w:ascii="宋体" w:hAnsi="宋体" w:eastAsia="宋体" w:cs="宋体"/>
          <w:color w:val="000000" w:themeColor="text1"/>
          <w:sz w:val="20"/>
          <w:szCs w:val="20"/>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排放</w:t>
      </w:r>
      <w:r>
        <w:rPr>
          <w:rFonts w:hint="eastAsia" w:ascii="宋体" w:hAnsi="宋体" w:eastAsia="宋体" w:cs="宋体"/>
          <w:color w:val="000000" w:themeColor="text1"/>
          <w:sz w:val="24"/>
          <w:szCs w:val="24"/>
          <w:lang w:val="en-US" w:eastAsia="zh-CN"/>
          <w14:textFill>
            <w14:solidFill>
              <w14:schemeClr w14:val="tx1"/>
            </w14:solidFill>
          </w14:textFill>
        </w:rPr>
        <w:t>计算方法见公式（2）。</w:t>
      </w:r>
    </w:p>
    <w:p w14:paraId="192C0A6C">
      <w:pPr>
        <w:spacing w:line="360" w:lineRule="auto"/>
        <w:ind w:firstLine="480" w:firstLineChars="200"/>
        <w:jc w:val="center"/>
        <w:rPr>
          <w:rFonts w:hint="default" w:hAnsi="Cambria Math" w:eastAsia="宋体" w:cs="宋体"/>
          <w:i w:val="0"/>
          <w:color w:val="000000" w:themeColor="text1"/>
          <w:sz w:val="24"/>
          <w:szCs w:val="24"/>
          <w:lang w:val="en-US" w:eastAsia="zh-CN"/>
          <w14:textFill>
            <w14:solidFill>
              <w14:schemeClr w14:val="tx1"/>
            </w14:solidFill>
          </w14:textFill>
        </w:rPr>
      </w:pPr>
      <w:r>
        <w:rPr>
          <w:rFonts w:hint="eastAsia" w:ascii="Cambria Math" w:hAnsi="Cambria Math" w:eastAsia="宋体" w:cs="宋体"/>
          <w:i/>
          <w:color w:val="000000" w:themeColor="text1"/>
          <w:sz w:val="24"/>
          <w:szCs w:val="24"/>
          <w:lang w:val="en-US" w:eastAsia="zh-CN"/>
          <w14:textFill>
            <w14:solidFill>
              <w14:schemeClr w14:val="tx1"/>
            </w14:solidFill>
          </w14:textFill>
        </w:rPr>
        <w:t>E</w:t>
      </w:r>
      <w:r>
        <w:rPr>
          <w:rFonts w:hint="eastAsia" w:ascii="Cambria Math" w:hAnsi="Cambria Math" w:eastAsia="宋体" w:cs="宋体"/>
          <w:i/>
          <w:color w:val="000000" w:themeColor="text1"/>
          <w:sz w:val="15"/>
          <w:szCs w:val="15"/>
          <w:lang w:val="en-US" w:eastAsia="zh-CN"/>
          <w14:textFill>
            <w14:solidFill>
              <w14:schemeClr w14:val="tx1"/>
            </w14:solidFill>
          </w14:textFill>
        </w:rPr>
        <w:t>co</w:t>
      </w:r>
      <w:r>
        <w:rPr>
          <w:rFonts w:hint="eastAsia" w:ascii="Cambria Math" w:hAnsi="Cambria Math" w:eastAsia="宋体" w:cs="宋体"/>
          <w:i/>
          <w:color w:val="000000" w:themeColor="text1"/>
          <w:sz w:val="8"/>
          <w:szCs w:val="8"/>
          <w:lang w:val="en-US" w:eastAsia="zh-CN"/>
          <w14:textFill>
            <w14:solidFill>
              <w14:schemeClr w14:val="tx1"/>
            </w14:solidFill>
          </w14:textFill>
        </w:rPr>
        <w:t>2 燃烧</w:t>
      </w:r>
      <w:r>
        <w:rPr>
          <w:rFonts w:hint="eastAsia" w:hAnsi="Cambria Math" w:eastAsia="宋体" w:cs="宋体"/>
          <w:i w:val="0"/>
          <w:color w:val="000000" w:themeColor="text1"/>
          <w:sz w:val="24"/>
          <w:szCs w:val="24"/>
          <w:lang w:val="en-US" w:eastAsia="zh-CN"/>
          <w14:textFill>
            <w14:solidFill>
              <w14:schemeClr w14:val="tx1"/>
            </w14:solidFill>
          </w14:textFill>
        </w:rPr>
        <w:t>=</w:t>
      </w:r>
      <m:oMath>
        <m:nary>
          <m:naryPr>
            <m:chr m:val="∑"/>
            <m:limLoc m:val="undOvr"/>
            <m:supHide m:val="1"/>
            <m:ctrlPr>
              <w:rPr>
                <w:rFonts w:ascii="Cambria Math" w:hAnsi="Cambria Math" w:cs="宋体"/>
                <w:i/>
                <w:color w:val="000000" w:themeColor="text1"/>
                <w:sz w:val="24"/>
                <w:szCs w:val="24"/>
                <w:lang w:val="en-US"/>
                <w14:textFill>
                  <w14:solidFill>
                    <w14:schemeClr w14:val="tx1"/>
                  </w14:solidFill>
                </w14:textFill>
              </w:rPr>
            </m:ctrlPr>
          </m:naryPr>
          <m:sub>
            <m:r>
              <m:rPr/>
              <w:rPr>
                <w:rFonts w:hint="default" w:ascii="Cambria Math" w:hAnsi="Cambria Math" w:eastAsia="宋体" w:cs="宋体"/>
                <w:color w:val="000000" w:themeColor="text1"/>
                <w:sz w:val="24"/>
                <w:szCs w:val="24"/>
                <w:lang w:val="en-US" w:eastAsia="zh-CN"/>
                <w14:textFill>
                  <w14:solidFill>
                    <w14:schemeClr w14:val="tx1"/>
                  </w14:solidFill>
                </w14:textFill>
              </w:rPr>
              <m:t>j</m:t>
            </m:r>
            <m:ctrlPr>
              <w:rPr>
                <w:rFonts w:ascii="Cambria Math" w:hAnsi="Cambria Math" w:cs="宋体"/>
                <w:i/>
                <w:color w:val="000000" w:themeColor="text1"/>
                <w:sz w:val="24"/>
                <w:szCs w:val="24"/>
                <w:lang w:val="en-US"/>
                <w14:textFill>
                  <w14:solidFill>
                    <w14:schemeClr w14:val="tx1"/>
                  </w14:solidFill>
                </w14:textFill>
              </w:rPr>
            </m:ctrlPr>
          </m:sub>
          <m:sup>
            <m:ctrlPr>
              <w:rPr>
                <w:rFonts w:ascii="Cambria Math" w:hAnsi="Cambria Math" w:cs="宋体"/>
                <w:i/>
                <w:color w:val="000000" w:themeColor="text1"/>
                <w:sz w:val="24"/>
                <w:szCs w:val="24"/>
                <w:lang w:val="en-US"/>
                <w14:textFill>
                  <w14:solidFill>
                    <w14:schemeClr w14:val="tx1"/>
                  </w14:solidFill>
                </w14:textFill>
              </w:rPr>
            </m:ctrlPr>
          </m:sup>
          <m:e>
            <m:ctrlPr>
              <w:rPr>
                <w:rFonts w:ascii="Cambria Math" w:hAnsi="Cambria Math" w:cs="宋体"/>
                <w:i/>
                <w:color w:val="000000" w:themeColor="text1"/>
                <w:sz w:val="24"/>
                <w:szCs w:val="24"/>
                <w:lang w:val="en-US"/>
                <w14:textFill>
                  <w14:solidFill>
                    <w14:schemeClr w14:val="tx1"/>
                  </w14:solidFill>
                </w14:textFill>
              </w:rPr>
            </m:ctrlPr>
          </m:e>
        </m:nary>
      </m:oMath>
      <w:r>
        <w:rPr>
          <w:rFonts w:hint="eastAsia" w:ascii="Cambria Math" w:hAnsi="Cambria Math" w:eastAsia="宋体" w:cs="宋体"/>
          <w:i w:val="0"/>
          <w:iCs/>
          <w:color w:val="000000" w:themeColor="text1"/>
          <w:sz w:val="40"/>
          <w:szCs w:val="40"/>
          <w:lang w:val="en-US" w:eastAsia="zh-CN"/>
          <w14:textFill>
            <w14:solidFill>
              <w14:schemeClr w14:val="tx1"/>
            </w14:solidFill>
          </w14:textFill>
        </w:rPr>
        <w:t>[</w:t>
      </w:r>
      <w:r>
        <w:rPr>
          <w:rFonts w:hint="eastAsia" w:hAnsi="Cambria Math" w:eastAsia="宋体" w:cs="宋体"/>
          <w:i w:val="0"/>
          <w:color w:val="000000" w:themeColor="text1"/>
          <w:sz w:val="24"/>
          <w:szCs w:val="24"/>
          <w:lang w:val="en-US" w:eastAsia="zh-CN"/>
          <w14:textFill>
            <w14:solidFill>
              <w14:schemeClr w14:val="tx1"/>
            </w14:solidFill>
          </w14:textFill>
        </w:rPr>
        <w:t>(</w:t>
      </w:r>
      <w:r>
        <w:rPr>
          <w:rFonts w:hint="eastAsia" w:ascii="Cambria Math" w:hAnsi="Cambria Math" w:eastAsia="宋体" w:cs="宋体"/>
          <w:i/>
          <w:color w:val="000000" w:themeColor="text1"/>
          <w:sz w:val="24"/>
          <w:szCs w:val="24"/>
          <w:lang w:val="en-US" w:eastAsia="zh-CN"/>
          <w14:textFill>
            <w14:solidFill>
              <w14:schemeClr w14:val="tx1"/>
            </w14:solidFill>
          </w14:textFill>
        </w:rPr>
        <w:t>AD</w:t>
      </w:r>
      <w:r>
        <w:rPr>
          <w:rFonts w:hint="eastAsia" w:ascii="Cambria Math" w:hAnsi="Cambria Math" w:eastAsia="宋体" w:cs="宋体"/>
          <w:i/>
          <w:color w:val="000000" w:themeColor="text1"/>
          <w:sz w:val="15"/>
          <w:szCs w:val="15"/>
          <w:lang w:val="en-US" w:eastAsia="zh-CN"/>
          <w14:textFill>
            <w14:solidFill>
              <w14:schemeClr w14:val="tx1"/>
            </w14:solidFill>
          </w14:textFill>
        </w:rPr>
        <w:t xml:space="preserve">i </w:t>
      </w:r>
      <w:r>
        <w:rPr>
          <w:rFonts w:hint="eastAsia" w:ascii="Cambria Math" w:hAnsi="Cambria Math" w:eastAsia="宋体" w:cs="宋体"/>
          <w:i/>
          <w:color w:val="000000" w:themeColor="text1"/>
          <w:sz w:val="20"/>
          <w:szCs w:val="20"/>
          <w:lang w:val="en-US" w:eastAsia="zh-CN"/>
          <w14:textFill>
            <w14:solidFill>
              <w14:schemeClr w14:val="tx1"/>
            </w14:solidFill>
          </w14:textFill>
        </w:rPr>
        <w:t xml:space="preserve"> </w:t>
      </w:r>
      <m:oMath>
        <m:r>
          <m:rPr>
            <m:sty m:val="p"/>
          </m:rPr>
          <w:rPr>
            <w:rFonts w:ascii="Cambria Math" w:hAnsi="Cambria Math" w:cs="宋体"/>
            <w:color w:val="000000" w:themeColor="text1"/>
            <w:sz w:val="20"/>
            <w:szCs w:val="20"/>
            <w:lang w:val="en-US"/>
            <w14:textFill>
              <w14:solidFill>
                <w14:schemeClr w14:val="tx1"/>
              </w14:solidFill>
            </w14:textFill>
          </w:rPr>
          <m:t>×</m:t>
        </m:r>
      </m:oMath>
      <w:r>
        <w:rPr>
          <w:rFonts w:hint="eastAsia" w:hAnsi="Cambria Math" w:eastAsia="宋体" w:cs="宋体"/>
          <w:i/>
          <w:color w:val="000000" w:themeColor="text1"/>
          <w:sz w:val="20"/>
          <w:szCs w:val="20"/>
          <w:lang w:val="en-US" w:eastAsia="zh-CN"/>
          <w14:textFill>
            <w14:solidFill>
              <w14:schemeClr w14:val="tx1"/>
            </w14:solidFill>
          </w14:textFill>
        </w:rPr>
        <w:t xml:space="preserve"> CC</w:t>
      </w:r>
      <w:r>
        <w:rPr>
          <w:rFonts w:hint="eastAsia" w:ascii="Cambria Math" w:hAnsi="Cambria Math" w:eastAsia="宋体" w:cs="宋体"/>
          <w:i/>
          <w:color w:val="000000" w:themeColor="text1"/>
          <w:sz w:val="15"/>
          <w:szCs w:val="15"/>
          <w:lang w:val="en-US" w:eastAsia="zh-CN"/>
          <w14:textFill>
            <w14:solidFill>
              <w14:schemeClr w14:val="tx1"/>
            </w14:solidFill>
          </w14:textFill>
        </w:rPr>
        <w:t>i</w:t>
      </w:r>
      <w:r>
        <w:rPr>
          <w:rFonts w:hint="eastAsia" w:hAnsi="Cambria Math" w:eastAsia="宋体" w:cs="宋体"/>
          <w:b w:val="0"/>
          <w:i w:val="0"/>
          <w:color w:val="000000" w:themeColor="text1"/>
          <w:sz w:val="20"/>
          <w:szCs w:val="20"/>
          <w:lang w:val="en-US" w:eastAsia="zh-CN"/>
          <w14:textFill>
            <w14:solidFill>
              <w14:schemeClr w14:val="tx1"/>
            </w14:solidFill>
          </w14:textFill>
        </w:rPr>
        <w:t xml:space="preserve"> </w:t>
      </w:r>
      <m:oMath>
        <m:r>
          <m:rPr>
            <m:sty m:val="p"/>
          </m:rPr>
          <w:rPr>
            <w:rFonts w:ascii="Cambria Math" w:hAnsi="Cambria Math" w:cs="宋体"/>
            <w:color w:val="000000" w:themeColor="text1"/>
            <w:sz w:val="20"/>
            <w:szCs w:val="20"/>
            <w:lang w:val="en-US"/>
            <w14:textFill>
              <w14:solidFill>
                <w14:schemeClr w14:val="tx1"/>
              </w14:solidFill>
            </w14:textFill>
          </w:rPr>
          <m:t>×</m:t>
        </m:r>
      </m:oMath>
      <w:r>
        <w:rPr>
          <w:rFonts w:hint="eastAsia" w:hAnsi="Cambria Math" w:eastAsia="宋体" w:cs="宋体"/>
          <w:i/>
          <w:color w:val="000000" w:themeColor="text1"/>
          <w:sz w:val="20"/>
          <w:szCs w:val="20"/>
          <w:lang w:val="en-US" w:eastAsia="zh-CN"/>
          <w14:textFill>
            <w14:solidFill>
              <w14:schemeClr w14:val="tx1"/>
            </w14:solidFill>
          </w14:textFill>
        </w:rPr>
        <w:t xml:space="preserve"> OF</w:t>
      </w:r>
      <w:r>
        <w:rPr>
          <w:rFonts w:hint="eastAsia" w:ascii="Cambria Math" w:hAnsi="Cambria Math" w:eastAsia="宋体" w:cs="宋体"/>
          <w:i/>
          <w:color w:val="000000" w:themeColor="text1"/>
          <w:sz w:val="15"/>
          <w:szCs w:val="15"/>
          <w:lang w:val="en-US" w:eastAsia="zh-CN"/>
          <w14:textFill>
            <w14:solidFill>
              <w14:schemeClr w14:val="tx1"/>
            </w14:solidFill>
          </w14:textFill>
        </w:rPr>
        <w:t xml:space="preserve">i  </w:t>
      </w:r>
      <m:oMath>
        <m:r>
          <m:rPr>
            <m:sty m:val="p"/>
          </m:rPr>
          <w:rPr>
            <w:rFonts w:ascii="Cambria Math" w:hAnsi="Cambria Math" w:cs="宋体"/>
            <w:color w:val="000000" w:themeColor="text1"/>
            <w:sz w:val="24"/>
            <w:szCs w:val="20"/>
            <w:lang w:val="en-US"/>
            <w14:textFill>
              <w14:solidFill>
                <w14:schemeClr w14:val="tx1"/>
              </w14:solidFill>
            </w14:textFill>
          </w:rPr>
          <m:t>×</m:t>
        </m:r>
        <m:f>
          <m:fPr>
            <m:ctrlPr>
              <w:rPr>
                <w:rFonts w:ascii="Cambria Math" w:hAnsi="Cambria Math" w:cs="宋体"/>
                <w:b w:val="0"/>
                <w:i w:val="0"/>
                <w:color w:val="000000" w:themeColor="text1"/>
                <w:sz w:val="24"/>
                <w:szCs w:val="24"/>
                <w:lang w:val="en-US"/>
                <w14:textFill>
                  <w14:solidFill>
                    <w14:schemeClr w14:val="tx1"/>
                  </w14:solidFill>
                </w14:textFill>
              </w:rPr>
            </m:ctrlPr>
          </m:fPr>
          <m:num>
            <m:r>
              <m:rPr>
                <m:sty m:val="p"/>
              </m:rPr>
              <w:rPr>
                <w:rFonts w:hint="default" w:ascii="Cambria Math" w:hAnsi="Cambria Math" w:eastAsia="宋体" w:cs="宋体"/>
                <w:color w:val="000000" w:themeColor="text1"/>
                <w:sz w:val="24"/>
                <w:szCs w:val="24"/>
                <w:lang w:val="en-US" w:eastAsia="zh-CN"/>
                <w14:textFill>
                  <w14:solidFill>
                    <w14:schemeClr w14:val="tx1"/>
                  </w14:solidFill>
                </w14:textFill>
              </w:rPr>
              <m:t>44</m:t>
            </m:r>
            <m:ctrlPr>
              <w:rPr>
                <w:rFonts w:ascii="Cambria Math" w:hAnsi="Cambria Math" w:cs="宋体"/>
                <w:b w:val="0"/>
                <w:i w:val="0"/>
                <w:color w:val="000000" w:themeColor="text1"/>
                <w:sz w:val="24"/>
                <w:szCs w:val="24"/>
                <w:lang w:val="en-US"/>
                <w14:textFill>
                  <w14:solidFill>
                    <w14:schemeClr w14:val="tx1"/>
                  </w14:solidFill>
                </w14:textFill>
              </w:rPr>
            </m:ctrlPr>
          </m:num>
          <m:den>
            <m:r>
              <m:rPr>
                <m:sty m:val="p"/>
              </m:rPr>
              <w:rPr>
                <w:rFonts w:hint="default" w:ascii="Cambria Math" w:hAnsi="Cambria Math" w:eastAsia="宋体" w:cs="宋体"/>
                <w:color w:val="000000" w:themeColor="text1"/>
                <w:sz w:val="24"/>
                <w:szCs w:val="24"/>
                <w:lang w:val="en-US" w:eastAsia="zh-CN"/>
                <w14:textFill>
                  <w14:solidFill>
                    <w14:schemeClr w14:val="tx1"/>
                  </w14:solidFill>
                </w14:textFill>
              </w:rPr>
              <m:t>12</m:t>
            </m:r>
            <m:ctrlPr>
              <w:rPr>
                <w:rFonts w:ascii="Cambria Math" w:hAnsi="Cambria Math" w:cs="宋体"/>
                <w:b w:val="0"/>
                <w:i w:val="0"/>
                <w:color w:val="000000" w:themeColor="text1"/>
                <w:sz w:val="24"/>
                <w:szCs w:val="24"/>
                <w:lang w:val="en-US"/>
                <w14:textFill>
                  <w14:solidFill>
                    <w14:schemeClr w14:val="tx1"/>
                  </w14:solidFill>
                </w14:textFill>
              </w:rPr>
            </m:ctrlPr>
          </m:den>
        </m:f>
        <m:r>
          <m:rPr>
            <m:sty m:val="p"/>
          </m:rPr>
          <w:rPr>
            <w:rFonts w:hint="default" w:ascii="Cambria Math" w:hAnsi="Cambria Math" w:eastAsia="宋体" w:cs="宋体"/>
            <w:color w:val="000000" w:themeColor="text1"/>
            <w:sz w:val="24"/>
            <w:szCs w:val="20"/>
            <w:lang w:val="en-US" w:eastAsia="zh-CN"/>
            <w14:textFill>
              <w14:solidFill>
                <w14:schemeClr w14:val="tx1"/>
              </w14:solidFill>
            </w14:textFill>
          </w:rPr>
          <m:t xml:space="preserve"> </m:t>
        </m:r>
      </m:oMath>
      <w:r>
        <w:rPr>
          <w:rFonts w:hint="eastAsia" w:ascii="Cambria Math" w:hAnsi="Cambria Math" w:eastAsia="宋体" w:cs="宋体"/>
          <w:i w:val="0"/>
          <w:iCs/>
          <w:color w:val="000000" w:themeColor="text1"/>
          <w:sz w:val="40"/>
          <w:szCs w:val="40"/>
          <w:lang w:val="en-US" w:eastAsia="zh-CN"/>
          <w14:textFill>
            <w14:solidFill>
              <w14:schemeClr w14:val="tx1"/>
            </w14:solidFill>
          </w14:textFill>
        </w:rPr>
        <w:t>]</w:t>
      </w:r>
      <w:r>
        <w:rPr>
          <w:rFonts w:hint="eastAsia" w:hAnsi="Cambria Math" w:eastAsia="宋体" w:cs="宋体"/>
          <w:i w:val="0"/>
          <w:color w:val="000000" w:themeColor="text1"/>
          <w:sz w:val="24"/>
          <w:szCs w:val="24"/>
          <w:lang w:val="en-US" w:eastAsia="zh-CN"/>
          <w14:textFill>
            <w14:solidFill>
              <w14:schemeClr w14:val="tx1"/>
            </w14:solidFill>
          </w14:textFill>
        </w:rPr>
        <w:t>................................(2)</w:t>
      </w:r>
    </w:p>
    <w:p w14:paraId="155375FE">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式中：</w:t>
      </w:r>
    </w:p>
    <w:p w14:paraId="27D063EB">
      <w:pPr>
        <w:spacing w:line="360" w:lineRule="auto"/>
        <w:ind w:firstLine="480" w:firstLineChars="200"/>
        <w:rPr>
          <w:rFonts w:hint="eastAsia" w:ascii="Cambria Math" w:hAnsi="Cambria Math" w:cs="宋体"/>
          <w:i w:val="0"/>
          <w:iCs/>
          <w:color w:val="000000" w:themeColor="text1"/>
          <w:sz w:val="24"/>
          <w:szCs w:val="24"/>
          <w:lang w:val="en-US" w:eastAsia="zh-CN"/>
          <w14:textFill>
            <w14:solidFill>
              <w14:schemeClr w14:val="tx1"/>
            </w14:solidFill>
          </w14:textFill>
        </w:rPr>
      </w:pPr>
      <w:r>
        <w:rPr>
          <w:rFonts w:hint="eastAsia" w:ascii="Cambria Math" w:hAnsi="Cambria Math" w:eastAsia="宋体" w:cs="宋体"/>
          <w:i/>
          <w:color w:val="000000" w:themeColor="text1"/>
          <w:sz w:val="24"/>
          <w:szCs w:val="24"/>
          <w:lang w:val="en-US" w:eastAsia="zh-CN"/>
          <w14:textFill>
            <w14:solidFill>
              <w14:schemeClr w14:val="tx1"/>
            </w14:solidFill>
          </w14:textFill>
        </w:rPr>
        <w:t>E</w:t>
      </w:r>
      <w:r>
        <w:rPr>
          <w:rFonts w:hint="eastAsia" w:ascii="Cambria Math" w:hAnsi="Cambria Math" w:eastAsia="宋体" w:cs="宋体"/>
          <w:i/>
          <w:color w:val="000000" w:themeColor="text1"/>
          <w:sz w:val="15"/>
          <w:szCs w:val="15"/>
          <w:lang w:val="en-US" w:eastAsia="zh-CN"/>
          <w14:textFill>
            <w14:solidFill>
              <w14:schemeClr w14:val="tx1"/>
            </w14:solidFill>
          </w14:textFill>
        </w:rPr>
        <w:t>co</w:t>
      </w:r>
      <w:r>
        <w:rPr>
          <w:rFonts w:hint="eastAsia" w:ascii="Cambria Math" w:hAnsi="Cambria Math" w:eastAsia="宋体" w:cs="宋体"/>
          <w:i/>
          <w:color w:val="000000" w:themeColor="text1"/>
          <w:sz w:val="8"/>
          <w:szCs w:val="8"/>
          <w:lang w:val="en-US" w:eastAsia="zh-CN"/>
          <w14:textFill>
            <w14:solidFill>
              <w14:schemeClr w14:val="tx1"/>
            </w14:solidFill>
          </w14:textFill>
        </w:rPr>
        <w:t>2 燃烧</w:t>
      </w:r>
      <w:r>
        <w:rPr>
          <w:rFonts w:hint="eastAsia" w:ascii="Cambria Math" w:hAnsi="Cambria Math" w:cs="宋体"/>
          <w:i w:val="0"/>
          <w:iCs/>
          <w:color w:val="000000" w:themeColor="text1"/>
          <w:sz w:val="24"/>
          <w:szCs w:val="24"/>
          <w:lang w:val="en-US" w:eastAsia="zh-CN"/>
          <w14:textFill>
            <w14:solidFill>
              <w14:schemeClr w14:val="tx1"/>
            </w14:solidFill>
          </w14:textFill>
        </w:rPr>
        <w:t>—为报告主体化石燃料燃烧 CO</w:t>
      </w:r>
      <w:r>
        <w:rPr>
          <w:rFonts w:hint="eastAsia" w:ascii="Cambria Math" w:hAnsi="Cambria Math" w:cs="宋体"/>
          <w:i w:val="0"/>
          <w:iCs/>
          <w:color w:val="000000" w:themeColor="text1"/>
          <w:sz w:val="18"/>
          <w:szCs w:val="18"/>
          <w:lang w:val="en-US" w:eastAsia="zh-CN"/>
          <w14:textFill>
            <w14:solidFill>
              <w14:schemeClr w14:val="tx1"/>
            </w14:solidFill>
          </w14:textFill>
        </w:rPr>
        <w:t>2</w:t>
      </w:r>
      <w:r>
        <w:rPr>
          <w:rFonts w:hint="eastAsia" w:ascii="Cambria Math" w:hAnsi="Cambria Math" w:cs="宋体"/>
          <w:i w:val="0"/>
          <w:iCs/>
          <w:color w:val="000000" w:themeColor="text1"/>
          <w:sz w:val="24"/>
          <w:szCs w:val="24"/>
          <w:lang w:val="en-US" w:eastAsia="zh-CN"/>
          <w14:textFill>
            <w14:solidFill>
              <w14:schemeClr w14:val="tx1"/>
            </w14:solidFill>
          </w14:textFill>
        </w:rPr>
        <w:t>排放量，单位为吨；</w:t>
      </w:r>
    </w:p>
    <w:p w14:paraId="6C7BCFA9">
      <w:pPr>
        <w:spacing w:line="360" w:lineRule="auto"/>
        <w:ind w:firstLine="480" w:firstLineChars="200"/>
        <w:rPr>
          <w:rFonts w:hint="eastAsia" w:ascii="Cambria Math" w:hAnsi="Cambria Math" w:cs="宋体"/>
          <w:i w:val="0"/>
          <w:iCs/>
          <w:color w:val="000000" w:themeColor="text1"/>
          <w:sz w:val="24"/>
          <w:szCs w:val="24"/>
          <w:lang w:val="en-US" w:eastAsia="zh-CN"/>
          <w14:textFill>
            <w14:solidFill>
              <w14:schemeClr w14:val="tx1"/>
            </w14:solidFill>
          </w14:textFill>
        </w:rPr>
      </w:pPr>
      <w:r>
        <w:rPr>
          <w:rFonts w:hint="eastAsia" w:ascii="Cambria Math" w:hAnsi="Cambria Math" w:eastAsia="宋体" w:cs="宋体"/>
          <w:i/>
          <w:color w:val="000000" w:themeColor="text1"/>
          <w:sz w:val="24"/>
          <w:szCs w:val="24"/>
          <w:lang w:val="en-US" w:eastAsia="zh-CN"/>
          <w14:textFill>
            <w14:solidFill>
              <w14:schemeClr w14:val="tx1"/>
            </w14:solidFill>
          </w14:textFill>
        </w:rPr>
        <w:t>AD</w:t>
      </w:r>
      <w:r>
        <w:rPr>
          <w:rFonts w:hint="eastAsia" w:ascii="Cambria Math" w:hAnsi="Cambria Math" w:eastAsia="宋体" w:cs="宋体"/>
          <w:i/>
          <w:color w:val="000000" w:themeColor="text1"/>
          <w:sz w:val="15"/>
          <w:szCs w:val="15"/>
          <w:lang w:val="en-US" w:eastAsia="zh-CN"/>
          <w14:textFill>
            <w14:solidFill>
              <w14:schemeClr w14:val="tx1"/>
            </w14:solidFill>
          </w14:textFill>
        </w:rPr>
        <w:t xml:space="preserve">i </w:t>
      </w:r>
      <w:r>
        <w:rPr>
          <w:rFonts w:hint="eastAsia" w:ascii="Cambria Math" w:hAnsi="Cambria Math" w:cs="宋体"/>
          <w:i w:val="0"/>
          <w:iCs/>
          <w:color w:val="000000" w:themeColor="text1"/>
          <w:sz w:val="24"/>
          <w:szCs w:val="24"/>
          <w:lang w:val="en-US" w:eastAsia="zh-CN"/>
          <w14:textFill>
            <w14:solidFill>
              <w14:schemeClr w14:val="tx1"/>
            </w14:solidFill>
          </w14:textFill>
        </w:rPr>
        <w:t>—为化石燃料品种 i 明确用作燃料燃烧的消费量，对固体或液体燃料以吨为单位，对气体燃料以万 Nm</w:t>
      </w:r>
      <w:r>
        <w:rPr>
          <w:rFonts w:hint="eastAsia" w:ascii="Cambria Math" w:hAnsi="Cambria Math" w:cs="宋体"/>
          <w:i w:val="0"/>
          <w:iCs/>
          <w:color w:val="000000" w:themeColor="text1"/>
          <w:sz w:val="21"/>
          <w:szCs w:val="21"/>
          <w:lang w:val="en-US" w:eastAsia="zh-CN"/>
          <w14:textFill>
            <w14:solidFill>
              <w14:schemeClr w14:val="tx1"/>
            </w14:solidFill>
          </w14:textFill>
        </w:rPr>
        <w:t>³</w:t>
      </w:r>
      <w:r>
        <w:rPr>
          <w:rFonts w:hint="eastAsia" w:ascii="Cambria Math" w:hAnsi="Cambria Math" w:cs="宋体"/>
          <w:i w:val="0"/>
          <w:iCs/>
          <w:color w:val="000000" w:themeColor="text1"/>
          <w:sz w:val="24"/>
          <w:szCs w:val="24"/>
          <w:lang w:val="en-US" w:eastAsia="zh-CN"/>
          <w14:textFill>
            <w14:solidFill>
              <w14:schemeClr w14:val="tx1"/>
            </w14:solidFill>
          </w14:textFill>
        </w:rPr>
        <w:t>为单位；</w:t>
      </w:r>
    </w:p>
    <w:p w14:paraId="2FB28F12">
      <w:pPr>
        <w:spacing w:line="360" w:lineRule="auto"/>
        <w:ind w:firstLine="400" w:firstLineChars="200"/>
        <w:rPr>
          <w:rFonts w:hint="eastAsia" w:ascii="Cambria Math" w:hAnsi="Cambria Math" w:cs="宋体"/>
          <w:i w:val="0"/>
          <w:iCs/>
          <w:color w:val="000000" w:themeColor="text1"/>
          <w:sz w:val="24"/>
          <w:szCs w:val="24"/>
          <w:lang w:val="en-US" w:eastAsia="zh-CN"/>
          <w14:textFill>
            <w14:solidFill>
              <w14:schemeClr w14:val="tx1"/>
            </w14:solidFill>
          </w14:textFill>
        </w:rPr>
      </w:pPr>
      <w:r>
        <w:rPr>
          <w:rFonts w:hint="eastAsia" w:hAnsi="Cambria Math" w:eastAsia="宋体" w:cs="宋体"/>
          <w:i/>
          <w:color w:val="000000" w:themeColor="text1"/>
          <w:sz w:val="20"/>
          <w:szCs w:val="20"/>
          <w:lang w:val="en-US" w:eastAsia="zh-CN"/>
          <w14:textFill>
            <w14:solidFill>
              <w14:schemeClr w14:val="tx1"/>
            </w14:solidFill>
          </w14:textFill>
        </w:rPr>
        <w:t>CC</w:t>
      </w:r>
      <w:r>
        <w:rPr>
          <w:rFonts w:hint="eastAsia" w:ascii="Cambria Math" w:hAnsi="Cambria Math" w:eastAsia="宋体" w:cs="宋体"/>
          <w:i/>
          <w:color w:val="000000" w:themeColor="text1"/>
          <w:sz w:val="15"/>
          <w:szCs w:val="15"/>
          <w:lang w:val="en-US" w:eastAsia="zh-CN"/>
          <w14:textFill>
            <w14:solidFill>
              <w14:schemeClr w14:val="tx1"/>
            </w14:solidFill>
          </w14:textFill>
        </w:rPr>
        <w:t>i</w:t>
      </w:r>
      <w:r>
        <w:rPr>
          <w:rFonts w:hint="eastAsia" w:hAnsi="Cambria Math" w:eastAsia="宋体" w:cs="宋体"/>
          <w:b w:val="0"/>
          <w:i w:val="0"/>
          <w:color w:val="000000" w:themeColor="text1"/>
          <w:sz w:val="20"/>
          <w:szCs w:val="20"/>
          <w:lang w:val="en-US" w:eastAsia="zh-CN"/>
          <w14:textFill>
            <w14:solidFill>
              <w14:schemeClr w14:val="tx1"/>
            </w14:solidFill>
          </w14:textFill>
        </w:rPr>
        <w:t xml:space="preserve"> </w:t>
      </w:r>
      <w:r>
        <w:rPr>
          <w:rFonts w:hint="eastAsia" w:ascii="Cambria Math" w:hAnsi="Cambria Math" w:cs="宋体"/>
          <w:i w:val="0"/>
          <w:iCs/>
          <w:color w:val="000000" w:themeColor="text1"/>
          <w:sz w:val="24"/>
          <w:szCs w:val="24"/>
          <w:lang w:val="en-US" w:eastAsia="zh-CN"/>
          <w14:textFill>
            <w14:solidFill>
              <w14:schemeClr w14:val="tx1"/>
            </w14:solidFill>
          </w14:textFill>
        </w:rPr>
        <w:t>—为化石燃料 i 的含碳量，对固体和液体燃料以吨碳/吨燃料为单位，对气体燃料以吨碳/万 Nm</w:t>
      </w:r>
      <w:r>
        <w:rPr>
          <w:rFonts w:hint="eastAsia" w:ascii="Cambria Math" w:hAnsi="Cambria Math" w:cs="宋体"/>
          <w:i w:val="0"/>
          <w:iCs/>
          <w:color w:val="000000" w:themeColor="text1"/>
          <w:sz w:val="21"/>
          <w:szCs w:val="21"/>
          <w:lang w:val="en-US" w:eastAsia="zh-CN"/>
          <w14:textFill>
            <w14:solidFill>
              <w14:schemeClr w14:val="tx1"/>
            </w14:solidFill>
          </w14:textFill>
        </w:rPr>
        <w:t>³</w:t>
      </w:r>
      <w:r>
        <w:rPr>
          <w:rFonts w:hint="eastAsia" w:ascii="Cambria Math" w:hAnsi="Cambria Math" w:cs="宋体"/>
          <w:i w:val="0"/>
          <w:iCs/>
          <w:color w:val="000000" w:themeColor="text1"/>
          <w:sz w:val="24"/>
          <w:szCs w:val="24"/>
          <w:lang w:val="en-US" w:eastAsia="zh-CN"/>
          <w14:textFill>
            <w14:solidFill>
              <w14:schemeClr w14:val="tx1"/>
            </w14:solidFill>
          </w14:textFill>
        </w:rPr>
        <w:t xml:space="preserve"> 为单位；</w:t>
      </w:r>
    </w:p>
    <w:p w14:paraId="293A9D23">
      <w:pPr>
        <w:spacing w:line="360" w:lineRule="auto"/>
        <w:ind w:firstLine="400" w:firstLineChars="200"/>
        <w:rPr>
          <w:rFonts w:hint="eastAsia" w:ascii="Cambria Math" w:hAnsi="Cambria Math" w:cs="宋体"/>
          <w:i w:val="0"/>
          <w:iCs/>
          <w:color w:val="000000" w:themeColor="text1"/>
          <w:sz w:val="24"/>
          <w:szCs w:val="24"/>
          <w:lang w:val="en-US" w:eastAsia="zh-CN"/>
          <w14:textFill>
            <w14:solidFill>
              <w14:schemeClr w14:val="tx1"/>
            </w14:solidFill>
          </w14:textFill>
        </w:rPr>
      </w:pPr>
      <w:r>
        <w:rPr>
          <w:rFonts w:hint="eastAsia" w:hAnsi="Cambria Math" w:eastAsia="宋体" w:cs="宋体"/>
          <w:i/>
          <w:color w:val="000000" w:themeColor="text1"/>
          <w:sz w:val="20"/>
          <w:szCs w:val="20"/>
          <w:lang w:val="en-US" w:eastAsia="zh-CN"/>
          <w14:textFill>
            <w14:solidFill>
              <w14:schemeClr w14:val="tx1"/>
            </w14:solidFill>
          </w14:textFill>
        </w:rPr>
        <w:t>OF</w:t>
      </w:r>
      <w:r>
        <w:rPr>
          <w:rFonts w:hint="eastAsia" w:ascii="Cambria Math" w:hAnsi="Cambria Math" w:eastAsia="宋体" w:cs="宋体"/>
          <w:i/>
          <w:color w:val="000000" w:themeColor="text1"/>
          <w:sz w:val="15"/>
          <w:szCs w:val="15"/>
          <w:lang w:val="en-US" w:eastAsia="zh-CN"/>
          <w14:textFill>
            <w14:solidFill>
              <w14:schemeClr w14:val="tx1"/>
            </w14:solidFill>
          </w14:textFill>
        </w:rPr>
        <w:t xml:space="preserve">i  </w:t>
      </w:r>
      <w:r>
        <w:rPr>
          <w:rFonts w:hint="eastAsia" w:ascii="Cambria Math" w:hAnsi="Cambria Math" w:cs="宋体"/>
          <w:i w:val="0"/>
          <w:iCs/>
          <w:color w:val="000000" w:themeColor="text1"/>
          <w:sz w:val="24"/>
          <w:szCs w:val="24"/>
          <w:lang w:val="en-US" w:eastAsia="zh-CN"/>
          <w14:textFill>
            <w14:solidFill>
              <w14:schemeClr w14:val="tx1"/>
            </w14:solidFill>
          </w14:textFill>
        </w:rPr>
        <w:t>—为化石燃料 i 的碳氧化率，取值范围为 0～1。</w:t>
      </w:r>
    </w:p>
    <w:p w14:paraId="219F3BFF">
      <w:pPr>
        <w:pStyle w:val="9"/>
        <w:rPr>
          <w:rFonts w:hint="eastAsia" w:ascii="Cambria Math" w:hAnsi="Cambria Math" w:cs="宋体"/>
          <w:i w:val="0"/>
          <w:iCs/>
          <w:color w:val="000000" w:themeColor="text1"/>
          <w:sz w:val="24"/>
          <w:szCs w:val="24"/>
          <w:lang w:val="en-US" w:eastAsia="zh-CN"/>
          <w14:textFill>
            <w14:solidFill>
              <w14:schemeClr w14:val="tx1"/>
            </w14:solidFill>
          </w14:textFill>
        </w:rPr>
      </w:pPr>
    </w:p>
    <w:p w14:paraId="39ACEEFC">
      <w:pPr>
        <w:pStyle w:val="9"/>
        <w:rPr>
          <w:rFonts w:hint="eastAsia"/>
          <w:color w:val="000000" w:themeColor="text1"/>
          <w:lang w:val="en-US" w:eastAsia="zh-CN"/>
          <w14:textFill>
            <w14:solidFill>
              <w14:schemeClr w14:val="tx1"/>
            </w14:solidFill>
          </w14:textFill>
        </w:rPr>
      </w:pPr>
    </w:p>
    <w:p w14:paraId="2F7B90E0">
      <w:pPr>
        <w:pStyle w:val="9"/>
        <w:numPr>
          <w:ilvl w:val="1"/>
          <w:numId w:val="1"/>
        </w:numPr>
        <w:spacing w:line="360" w:lineRule="auto"/>
        <w:ind w:firstLineChars="0"/>
        <w:outlineLvl w:val="1"/>
        <w:rPr>
          <w:rFonts w:hint="eastAsia" w:ascii="宋体" w:hAnsi="宋体" w:eastAsia="宋体" w:cs="宋体"/>
          <w:color w:val="000000" w:themeColor="text1"/>
          <w:sz w:val="24"/>
          <w:szCs w:val="24"/>
          <w:lang w:eastAsia="zh-CN"/>
          <w14:textFill>
            <w14:solidFill>
              <w14:schemeClr w14:val="tx1"/>
            </w14:solidFill>
          </w14:textFill>
        </w:rPr>
      </w:pPr>
      <w:r>
        <w:rPr>
          <w:rFonts w:hint="eastAsia" w:ascii="Cambria Math" w:hAnsi="Cambria Math" w:cs="宋体"/>
          <w:i w:val="0"/>
          <w:iCs/>
          <w:color w:val="000000" w:themeColor="text1"/>
          <w:sz w:val="24"/>
          <w:szCs w:val="24"/>
          <w:lang w:val="en-US" w:eastAsia="zh-CN"/>
          <w14:textFill>
            <w14:solidFill>
              <w14:schemeClr w14:val="tx1"/>
            </w14:solidFill>
          </w14:textFill>
        </w:rPr>
        <w:t>碳足迹结果计算</w:t>
      </w:r>
    </w:p>
    <w:p w14:paraId="01247103">
      <w:pPr>
        <w:spacing w:line="360" w:lineRule="auto"/>
        <w:ind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深圳远征技术有限公司</w:t>
      </w:r>
      <w:r>
        <w:rPr>
          <w:rFonts w:hint="eastAsia" w:ascii="宋体" w:hAnsi="宋体" w:eastAsia="宋体" w:cs="宋体"/>
          <w:color w:val="000000" w:themeColor="text1"/>
          <w:sz w:val="24"/>
          <w:szCs w:val="24"/>
          <w:lang w:val="en-US" w:eastAsia="zh-CN"/>
          <w14:textFill>
            <w14:solidFill>
              <w14:schemeClr w14:val="tx1"/>
            </w14:solidFill>
          </w14:textFill>
        </w:rPr>
        <w:t>的主营产品为</w:t>
      </w:r>
      <w:r>
        <w:rPr>
          <w:rFonts w:hint="eastAsia" w:ascii="宋体" w:hAnsi="宋体" w:cs="宋体"/>
          <w:color w:val="000000" w:themeColor="text1"/>
          <w:sz w:val="24"/>
          <w:szCs w:val="24"/>
          <w:lang w:val="en-US" w:eastAsia="zh-CN"/>
          <w14:textFill>
            <w14:solidFill>
              <w14:schemeClr w14:val="tx1"/>
            </w14:solidFill>
          </w14:textFill>
        </w:rPr>
        <w:t>隔离式防雷技术系列产品</w:t>
      </w:r>
      <w:r>
        <w:rPr>
          <w:rFonts w:hint="eastAsia" w:ascii="宋体" w:hAnsi="宋体" w:eastAsia="宋体" w:cs="宋体"/>
          <w:color w:val="000000" w:themeColor="text1"/>
          <w:sz w:val="24"/>
          <w:szCs w:val="24"/>
          <w:lang w:val="en-US" w:eastAsia="zh-CN"/>
          <w14:textFill>
            <w14:solidFill>
              <w14:schemeClr w14:val="tx1"/>
            </w14:solidFill>
          </w14:textFill>
        </w:rPr>
        <w:t>，根据公式（1）、公式（2）、《工业其他企业温室气体排放核算方法与报告指南（试行）》附录二：相关参数缺省值、《生态环境部、国家统计局关于发布2022年电力二氧化碳排放因子的公告》（公告 2024年第33号），产品生命周期各个阶段碳排放结果计算表7-1</w:t>
      </w:r>
      <w:r>
        <w:rPr>
          <w:rFonts w:hint="eastAsia" w:ascii="宋体" w:hAnsi="宋体" w:eastAsia="宋体" w:cs="宋体"/>
          <w:color w:val="000000" w:themeColor="text1"/>
          <w:sz w:val="24"/>
          <w:szCs w:val="24"/>
          <w:lang w:eastAsia="zh-CN"/>
          <w14:textFill>
            <w14:solidFill>
              <w14:schemeClr w14:val="tx1"/>
            </w14:solidFill>
          </w14:textFill>
        </w:rPr>
        <w:t>：</w:t>
      </w:r>
    </w:p>
    <w:p w14:paraId="68F36E66">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表7-1 隔离式防雷技术系列产品生命周期碳排放结果计算</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58"/>
        <w:gridCol w:w="1064"/>
        <w:gridCol w:w="853"/>
        <w:gridCol w:w="1340"/>
        <w:gridCol w:w="684"/>
        <w:gridCol w:w="1385"/>
        <w:gridCol w:w="1385"/>
        <w:gridCol w:w="853"/>
      </w:tblGrid>
      <w:tr w14:paraId="6C4B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jc w:val="center"/>
        </w:trPr>
        <w:tc>
          <w:tcPr>
            <w:tcW w:w="562" w:type="pct"/>
            <w:tcBorders>
              <w:top w:val="single" w:color="000000" w:sz="4" w:space="0"/>
              <w:left w:val="single" w:color="000000" w:sz="4" w:space="0"/>
              <w:bottom w:val="single" w:color="000000" w:sz="4" w:space="0"/>
              <w:right w:val="single" w:color="000000" w:sz="4" w:space="0"/>
            </w:tcBorders>
            <w:shd w:val="clear"/>
            <w:vAlign w:val="center"/>
          </w:tcPr>
          <w:p w14:paraId="1F083129">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活动水平数据名称</w:t>
            </w:r>
          </w:p>
        </w:tc>
        <w:tc>
          <w:tcPr>
            <w:tcW w:w="624" w:type="pct"/>
            <w:tcBorders>
              <w:top w:val="single" w:color="000000" w:sz="4" w:space="0"/>
              <w:left w:val="single" w:color="000000" w:sz="4" w:space="0"/>
              <w:bottom w:val="single" w:color="000000" w:sz="4" w:space="0"/>
              <w:right w:val="single" w:color="000000" w:sz="4" w:space="0"/>
            </w:tcBorders>
            <w:shd w:val="clear"/>
            <w:vAlign w:val="center"/>
          </w:tcPr>
          <w:p w14:paraId="49BBAA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活动水平数据</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239570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物料排放因子</w:t>
            </w:r>
          </w:p>
        </w:tc>
        <w:tc>
          <w:tcPr>
            <w:tcW w:w="786" w:type="pct"/>
            <w:tcBorders>
              <w:top w:val="single" w:color="000000" w:sz="4" w:space="0"/>
              <w:left w:val="single" w:color="000000" w:sz="4" w:space="0"/>
              <w:bottom w:val="single" w:color="000000" w:sz="4" w:space="0"/>
              <w:right w:val="single" w:color="000000" w:sz="4" w:space="0"/>
            </w:tcBorders>
            <w:shd w:val="clear"/>
            <w:vAlign w:val="center"/>
          </w:tcPr>
          <w:p w14:paraId="69422C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单位</w:t>
            </w:r>
          </w:p>
        </w:tc>
        <w:tc>
          <w:tcPr>
            <w:tcW w:w="401" w:type="pct"/>
            <w:tcBorders>
              <w:top w:val="single" w:color="000000" w:sz="4" w:space="0"/>
              <w:left w:val="single" w:color="000000" w:sz="4" w:space="0"/>
              <w:bottom w:val="single" w:color="000000" w:sz="4" w:space="0"/>
              <w:right w:val="single" w:color="000000" w:sz="4" w:space="0"/>
            </w:tcBorders>
            <w:shd w:val="clear"/>
            <w:vAlign w:val="center"/>
          </w:tcPr>
          <w:p w14:paraId="1B811F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全球变暖潜势值</w:t>
            </w:r>
          </w:p>
        </w:tc>
        <w:tc>
          <w:tcPr>
            <w:tcW w:w="812" w:type="pct"/>
            <w:tcBorders>
              <w:top w:val="single" w:color="000000" w:sz="4" w:space="0"/>
              <w:left w:val="single" w:color="000000" w:sz="4" w:space="0"/>
              <w:bottom w:val="single" w:color="000000" w:sz="4" w:space="0"/>
              <w:right w:val="single" w:color="000000" w:sz="4" w:space="0"/>
            </w:tcBorders>
            <w:shd w:val="clear"/>
            <w:vAlign w:val="center"/>
          </w:tcPr>
          <w:p w14:paraId="63F649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碳排放量（kgCO2e）</w:t>
            </w:r>
          </w:p>
        </w:tc>
        <w:tc>
          <w:tcPr>
            <w:tcW w:w="812" w:type="pct"/>
            <w:tcBorders>
              <w:top w:val="single" w:color="000000" w:sz="4" w:space="0"/>
              <w:left w:val="single" w:color="000000" w:sz="4" w:space="0"/>
              <w:bottom w:val="single" w:color="000000" w:sz="4" w:space="0"/>
              <w:right w:val="single" w:color="000000" w:sz="4" w:space="0"/>
            </w:tcBorders>
            <w:shd w:val="clear"/>
            <w:vAlign w:val="center"/>
          </w:tcPr>
          <w:p w14:paraId="784EDD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1套产品碳排放量（kgCO2e/套）</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57821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碳足迹产生占比</w:t>
            </w:r>
          </w:p>
        </w:tc>
      </w:tr>
      <w:tr w14:paraId="3339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562" w:type="pct"/>
            <w:tcBorders>
              <w:top w:val="single" w:color="000000" w:sz="4" w:space="0"/>
              <w:left w:val="single" w:color="000000" w:sz="4" w:space="0"/>
              <w:bottom w:val="single" w:color="000000" w:sz="4" w:space="0"/>
              <w:right w:val="single" w:color="000000" w:sz="4" w:space="0"/>
            </w:tcBorders>
            <w:shd w:val="clear"/>
            <w:vAlign w:val="center"/>
          </w:tcPr>
          <w:p w14:paraId="5BE83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产品产量（单位：套）</w:t>
            </w:r>
          </w:p>
        </w:tc>
        <w:tc>
          <w:tcPr>
            <w:tcW w:w="624" w:type="pct"/>
            <w:tcBorders>
              <w:top w:val="single" w:color="000000" w:sz="4" w:space="0"/>
              <w:left w:val="single" w:color="000000" w:sz="4" w:space="0"/>
              <w:bottom w:val="single" w:color="000000" w:sz="4" w:space="0"/>
              <w:right w:val="single" w:color="000000" w:sz="4" w:space="0"/>
            </w:tcBorders>
            <w:shd w:val="clear"/>
            <w:vAlign w:val="center"/>
          </w:tcPr>
          <w:p w14:paraId="337765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83835</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2830D9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786" w:type="pct"/>
            <w:tcBorders>
              <w:top w:val="single" w:color="000000" w:sz="4" w:space="0"/>
              <w:left w:val="single" w:color="000000" w:sz="4" w:space="0"/>
              <w:bottom w:val="single" w:color="000000" w:sz="4" w:space="0"/>
              <w:right w:val="single" w:color="000000" w:sz="4" w:space="0"/>
            </w:tcBorders>
            <w:shd w:val="clear"/>
            <w:vAlign w:val="center"/>
          </w:tcPr>
          <w:p w14:paraId="067664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vAlign w:val="center"/>
          </w:tcPr>
          <w:p w14:paraId="241CEE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812" w:type="pct"/>
            <w:tcBorders>
              <w:top w:val="single" w:color="000000" w:sz="4" w:space="0"/>
              <w:left w:val="single" w:color="000000" w:sz="4" w:space="0"/>
              <w:bottom w:val="single" w:color="000000" w:sz="4" w:space="0"/>
              <w:right w:val="single" w:color="000000" w:sz="4" w:space="0"/>
            </w:tcBorders>
            <w:shd w:val="clear"/>
            <w:vAlign w:val="center"/>
          </w:tcPr>
          <w:p w14:paraId="684CDF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59386038.52</w:t>
            </w:r>
          </w:p>
        </w:tc>
        <w:tc>
          <w:tcPr>
            <w:tcW w:w="812" w:type="pct"/>
            <w:tcBorders>
              <w:top w:val="single" w:color="000000" w:sz="4" w:space="0"/>
              <w:left w:val="single" w:color="000000" w:sz="4" w:space="0"/>
              <w:bottom w:val="single" w:color="000000" w:sz="4" w:space="0"/>
              <w:right w:val="single" w:color="000000" w:sz="4" w:space="0"/>
            </w:tcBorders>
            <w:shd w:val="clear"/>
            <w:vAlign w:val="center"/>
          </w:tcPr>
          <w:p w14:paraId="66860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708.3680863</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42DF8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100%</w:t>
            </w:r>
          </w:p>
        </w:tc>
      </w:tr>
      <w:tr w14:paraId="66C9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562" w:type="pct"/>
            <w:tcBorders>
              <w:top w:val="single" w:color="000000" w:sz="4" w:space="0"/>
              <w:left w:val="single" w:color="000000" w:sz="4" w:space="0"/>
              <w:bottom w:val="single" w:color="000000" w:sz="4" w:space="0"/>
              <w:right w:val="single" w:color="000000" w:sz="4" w:space="0"/>
            </w:tcBorders>
            <w:shd w:val="clear"/>
            <w:vAlign w:val="center"/>
          </w:tcPr>
          <w:p w14:paraId="21A772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电能源消耗（kWh）</w:t>
            </w:r>
          </w:p>
        </w:tc>
        <w:tc>
          <w:tcPr>
            <w:tcW w:w="624" w:type="pct"/>
            <w:tcBorders>
              <w:top w:val="single" w:color="000000" w:sz="4" w:space="0"/>
              <w:left w:val="single" w:color="000000" w:sz="4" w:space="0"/>
              <w:bottom w:val="single" w:color="000000" w:sz="4" w:space="0"/>
              <w:right w:val="single" w:color="000000" w:sz="4" w:space="0"/>
            </w:tcBorders>
            <w:shd w:val="clear"/>
            <w:vAlign w:val="center"/>
          </w:tcPr>
          <w:p w14:paraId="6225D4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83030</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28815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0.6205</w:t>
            </w:r>
          </w:p>
        </w:tc>
        <w:tc>
          <w:tcPr>
            <w:tcW w:w="786" w:type="pct"/>
            <w:tcBorders>
              <w:top w:val="single" w:color="000000" w:sz="4" w:space="0"/>
              <w:left w:val="single" w:color="000000" w:sz="4" w:space="0"/>
              <w:bottom w:val="single" w:color="000000" w:sz="4" w:space="0"/>
              <w:right w:val="single" w:color="000000" w:sz="4" w:space="0"/>
            </w:tcBorders>
            <w:shd w:val="clear"/>
            <w:vAlign w:val="center"/>
          </w:tcPr>
          <w:p w14:paraId="285DA3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kgCO2e/kWh</w:t>
            </w:r>
          </w:p>
        </w:tc>
        <w:tc>
          <w:tcPr>
            <w:tcW w:w="401" w:type="pct"/>
            <w:tcBorders>
              <w:top w:val="single" w:color="000000" w:sz="4" w:space="0"/>
              <w:left w:val="single" w:color="000000" w:sz="4" w:space="0"/>
              <w:bottom w:val="single" w:color="000000" w:sz="4" w:space="0"/>
              <w:right w:val="single" w:color="000000" w:sz="4" w:space="0"/>
            </w:tcBorders>
            <w:shd w:val="clear"/>
            <w:vAlign w:val="center"/>
          </w:tcPr>
          <w:p w14:paraId="6C44A7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812" w:type="pct"/>
            <w:tcBorders>
              <w:top w:val="single" w:color="000000" w:sz="4" w:space="0"/>
              <w:left w:val="single" w:color="000000" w:sz="4" w:space="0"/>
              <w:bottom w:val="single" w:color="000000" w:sz="4" w:space="0"/>
              <w:right w:val="single" w:color="000000" w:sz="4" w:space="0"/>
            </w:tcBorders>
            <w:shd w:val="clear"/>
            <w:vAlign w:val="center"/>
          </w:tcPr>
          <w:p w14:paraId="4BE1AF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51520.115</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33E01D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0.614541838</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18AE71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w:t>
            </w:r>
          </w:p>
        </w:tc>
      </w:tr>
      <w:tr w14:paraId="3F47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2" w:type="pct"/>
            <w:tcBorders>
              <w:top w:val="single" w:color="000000" w:sz="4" w:space="0"/>
              <w:left w:val="single" w:color="000000" w:sz="4" w:space="0"/>
              <w:bottom w:val="single" w:color="000000" w:sz="4" w:space="0"/>
              <w:right w:val="single" w:color="000000" w:sz="4" w:space="0"/>
            </w:tcBorders>
            <w:shd w:val="clear"/>
            <w:vAlign w:val="center"/>
          </w:tcPr>
          <w:p w14:paraId="5A8DC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水能消耗（t）</w:t>
            </w:r>
          </w:p>
        </w:tc>
        <w:tc>
          <w:tcPr>
            <w:tcW w:w="624" w:type="pct"/>
            <w:tcBorders>
              <w:top w:val="single" w:color="000000" w:sz="4" w:space="0"/>
              <w:left w:val="single" w:color="000000" w:sz="4" w:space="0"/>
              <w:bottom w:val="single" w:color="000000" w:sz="4" w:space="0"/>
              <w:right w:val="single" w:color="000000" w:sz="4" w:space="0"/>
            </w:tcBorders>
            <w:shd w:val="clear"/>
            <w:vAlign w:val="center"/>
          </w:tcPr>
          <w:p w14:paraId="26EF5D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616</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78E821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0.168</w:t>
            </w: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42752E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kgCO2e/t</w:t>
            </w:r>
          </w:p>
        </w:tc>
        <w:tc>
          <w:tcPr>
            <w:tcW w:w="401" w:type="pct"/>
            <w:tcBorders>
              <w:top w:val="single" w:color="000000" w:sz="4" w:space="0"/>
              <w:left w:val="single" w:color="000000" w:sz="4" w:space="0"/>
              <w:bottom w:val="single" w:color="000000" w:sz="4" w:space="0"/>
              <w:right w:val="single" w:color="000000" w:sz="4" w:space="0"/>
            </w:tcBorders>
            <w:shd w:val="clear"/>
            <w:noWrap/>
            <w:vAlign w:val="center"/>
          </w:tcPr>
          <w:p w14:paraId="071A82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6961A9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103.488</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279989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0.001234425</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00B5B5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0.00%</w:t>
            </w:r>
          </w:p>
        </w:tc>
      </w:tr>
      <w:tr w14:paraId="41BC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562" w:type="pct"/>
            <w:tcBorders>
              <w:top w:val="single" w:color="000000" w:sz="4" w:space="0"/>
              <w:left w:val="single" w:color="000000" w:sz="4" w:space="0"/>
              <w:bottom w:val="single" w:color="000000" w:sz="4" w:space="0"/>
              <w:right w:val="single" w:color="000000" w:sz="4" w:space="0"/>
            </w:tcBorders>
            <w:shd w:val="clear"/>
            <w:vAlign w:val="center"/>
          </w:tcPr>
          <w:p w14:paraId="0C30C3D8">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机箱（钣金）（个）</w:t>
            </w:r>
          </w:p>
        </w:tc>
        <w:tc>
          <w:tcPr>
            <w:tcW w:w="624" w:type="pct"/>
            <w:tcBorders>
              <w:top w:val="single" w:color="000000" w:sz="4" w:space="0"/>
              <w:left w:val="single" w:color="000000" w:sz="4" w:space="0"/>
              <w:bottom w:val="single" w:color="000000" w:sz="4" w:space="0"/>
              <w:right w:val="single" w:color="000000" w:sz="4" w:space="0"/>
            </w:tcBorders>
            <w:shd w:val="clear"/>
            <w:vAlign w:val="center"/>
          </w:tcPr>
          <w:p w14:paraId="2B54AA75">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4598</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7BA6617E">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1095</w:t>
            </w: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6B7005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kgCO2e/个</w:t>
            </w:r>
          </w:p>
        </w:tc>
        <w:tc>
          <w:tcPr>
            <w:tcW w:w="401" w:type="pct"/>
            <w:tcBorders>
              <w:top w:val="single" w:color="000000" w:sz="4" w:space="0"/>
              <w:left w:val="single" w:color="000000" w:sz="4" w:space="0"/>
              <w:bottom w:val="single" w:color="000000" w:sz="4" w:space="0"/>
              <w:right w:val="single" w:color="000000" w:sz="4" w:space="0"/>
            </w:tcBorders>
            <w:shd w:val="clear"/>
            <w:noWrap/>
            <w:vAlign w:val="center"/>
          </w:tcPr>
          <w:p w14:paraId="3A738B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1BD237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5034810</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74A793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60.05618179</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6B85F9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8.48%</w:t>
            </w:r>
          </w:p>
        </w:tc>
      </w:tr>
      <w:tr w14:paraId="43CC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2" w:type="pct"/>
            <w:tcBorders>
              <w:top w:val="single" w:color="000000" w:sz="4" w:space="0"/>
              <w:left w:val="single" w:color="000000" w:sz="4" w:space="0"/>
              <w:bottom w:val="single" w:color="000000" w:sz="4" w:space="0"/>
              <w:right w:val="single" w:color="000000" w:sz="4" w:space="0"/>
            </w:tcBorders>
            <w:shd w:val="clear"/>
            <w:vAlign w:val="center"/>
          </w:tcPr>
          <w:p w14:paraId="6984E2C0">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电感（个）</w:t>
            </w:r>
          </w:p>
        </w:tc>
        <w:tc>
          <w:tcPr>
            <w:tcW w:w="624" w:type="pct"/>
            <w:tcBorders>
              <w:top w:val="single" w:color="000000" w:sz="4" w:space="0"/>
              <w:left w:val="single" w:color="000000" w:sz="4" w:space="0"/>
              <w:bottom w:val="single" w:color="000000" w:sz="4" w:space="0"/>
              <w:right w:val="single" w:color="000000" w:sz="4" w:space="0"/>
            </w:tcBorders>
            <w:shd w:val="clear"/>
            <w:vAlign w:val="center"/>
          </w:tcPr>
          <w:p w14:paraId="1782F5C8">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23400</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4B0D377C">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3.27</w:t>
            </w: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73BE97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kgCO2e/个</w:t>
            </w:r>
          </w:p>
        </w:tc>
        <w:tc>
          <w:tcPr>
            <w:tcW w:w="401" w:type="pct"/>
            <w:tcBorders>
              <w:top w:val="single" w:color="000000" w:sz="4" w:space="0"/>
              <w:left w:val="single" w:color="000000" w:sz="4" w:space="0"/>
              <w:bottom w:val="single" w:color="000000" w:sz="4" w:space="0"/>
              <w:right w:val="single" w:color="000000" w:sz="4" w:space="0"/>
            </w:tcBorders>
            <w:shd w:val="clear"/>
            <w:noWrap/>
            <w:vAlign w:val="center"/>
          </w:tcPr>
          <w:p w14:paraId="718A35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2A2733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76518</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2DC68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0.912721417</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7FD159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0.13%</w:t>
            </w:r>
          </w:p>
        </w:tc>
      </w:tr>
      <w:tr w14:paraId="5641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2" w:type="pct"/>
            <w:tcBorders>
              <w:top w:val="single" w:color="000000" w:sz="4" w:space="0"/>
              <w:left w:val="single" w:color="000000" w:sz="4" w:space="0"/>
              <w:bottom w:val="single" w:color="000000" w:sz="4" w:space="0"/>
              <w:right w:val="single" w:color="000000" w:sz="4" w:space="0"/>
            </w:tcBorders>
            <w:shd w:val="clear"/>
            <w:vAlign w:val="center"/>
          </w:tcPr>
          <w:p w14:paraId="384D4FEB">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防雷模块（个）</w:t>
            </w:r>
          </w:p>
        </w:tc>
        <w:tc>
          <w:tcPr>
            <w:tcW w:w="624" w:type="pct"/>
            <w:tcBorders>
              <w:top w:val="single" w:color="000000" w:sz="4" w:space="0"/>
              <w:left w:val="single" w:color="000000" w:sz="4" w:space="0"/>
              <w:bottom w:val="single" w:color="000000" w:sz="4" w:space="0"/>
              <w:right w:val="single" w:color="000000" w:sz="4" w:space="0"/>
            </w:tcBorders>
            <w:shd w:val="clear"/>
            <w:vAlign w:val="center"/>
          </w:tcPr>
          <w:p w14:paraId="3AA903DD">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6496</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78AD26F4">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w:t>
            </w: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3CC76D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kgCO2e/平方米</w:t>
            </w:r>
          </w:p>
        </w:tc>
        <w:tc>
          <w:tcPr>
            <w:tcW w:w="401" w:type="pct"/>
            <w:tcBorders>
              <w:top w:val="single" w:color="000000" w:sz="4" w:space="0"/>
              <w:left w:val="single" w:color="000000" w:sz="4" w:space="0"/>
              <w:bottom w:val="single" w:color="000000" w:sz="4" w:space="0"/>
              <w:right w:val="single" w:color="000000" w:sz="4" w:space="0"/>
            </w:tcBorders>
            <w:shd w:val="clear"/>
            <w:noWrap/>
            <w:vAlign w:val="center"/>
          </w:tcPr>
          <w:p w14:paraId="3AA96E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7E78AD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30531.2</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71542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0.364182024</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1EA75A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w:t>
            </w:r>
          </w:p>
        </w:tc>
      </w:tr>
      <w:tr w14:paraId="5513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2" w:type="pct"/>
            <w:tcBorders>
              <w:top w:val="single" w:color="000000" w:sz="4" w:space="0"/>
              <w:left w:val="single" w:color="000000" w:sz="4" w:space="0"/>
              <w:bottom w:val="single" w:color="000000" w:sz="4" w:space="0"/>
              <w:right w:val="single" w:color="000000" w:sz="4" w:space="0"/>
            </w:tcBorders>
            <w:shd w:val="clear"/>
            <w:vAlign w:val="center"/>
          </w:tcPr>
          <w:p w14:paraId="2C3DB3CD">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断路器（个）</w:t>
            </w:r>
          </w:p>
        </w:tc>
        <w:tc>
          <w:tcPr>
            <w:tcW w:w="624" w:type="pct"/>
            <w:tcBorders>
              <w:top w:val="single" w:color="000000" w:sz="4" w:space="0"/>
              <w:left w:val="single" w:color="000000" w:sz="4" w:space="0"/>
              <w:bottom w:val="single" w:color="000000" w:sz="4" w:space="0"/>
              <w:right w:val="single" w:color="000000" w:sz="4" w:space="0"/>
            </w:tcBorders>
            <w:shd w:val="clear"/>
            <w:vAlign w:val="center"/>
          </w:tcPr>
          <w:p w14:paraId="7C6E1B76">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24667</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58F67656">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2160</w:t>
            </w: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0F6892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kgCO2e/个</w:t>
            </w:r>
          </w:p>
        </w:tc>
        <w:tc>
          <w:tcPr>
            <w:tcW w:w="401" w:type="pct"/>
            <w:tcBorders>
              <w:top w:val="single" w:color="000000" w:sz="4" w:space="0"/>
              <w:left w:val="single" w:color="000000" w:sz="4" w:space="0"/>
              <w:bottom w:val="single" w:color="000000" w:sz="4" w:space="0"/>
              <w:right w:val="single" w:color="000000" w:sz="4" w:space="0"/>
            </w:tcBorders>
            <w:shd w:val="clear"/>
            <w:noWrap/>
            <w:vAlign w:val="center"/>
          </w:tcPr>
          <w:p w14:paraId="073777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3FB3FF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53280720</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072033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635.5426731</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79332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89.72%</w:t>
            </w:r>
          </w:p>
        </w:tc>
      </w:tr>
      <w:tr w14:paraId="6AAA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2" w:type="pct"/>
            <w:tcBorders>
              <w:top w:val="single" w:color="000000" w:sz="4" w:space="0"/>
              <w:left w:val="single" w:color="000000" w:sz="4" w:space="0"/>
              <w:bottom w:val="single" w:color="000000" w:sz="4" w:space="0"/>
              <w:right w:val="single" w:color="000000" w:sz="4" w:space="0"/>
            </w:tcBorders>
            <w:shd w:val="clear"/>
            <w:vAlign w:val="center"/>
          </w:tcPr>
          <w:p w14:paraId="2352F1BB">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电线（卷）</w:t>
            </w:r>
          </w:p>
        </w:tc>
        <w:tc>
          <w:tcPr>
            <w:tcW w:w="624" w:type="pct"/>
            <w:tcBorders>
              <w:top w:val="single" w:color="000000" w:sz="4" w:space="0"/>
              <w:left w:val="single" w:color="000000" w:sz="4" w:space="0"/>
              <w:bottom w:val="single" w:color="000000" w:sz="4" w:space="0"/>
              <w:right w:val="single" w:color="000000" w:sz="4" w:space="0"/>
            </w:tcBorders>
            <w:shd w:val="clear"/>
            <w:vAlign w:val="center"/>
          </w:tcPr>
          <w:p w14:paraId="5776E5AC">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19700</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2F8F84F0">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0.34</w:t>
            </w: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3BB80A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kgCO2e/米</w:t>
            </w:r>
          </w:p>
        </w:tc>
        <w:tc>
          <w:tcPr>
            <w:tcW w:w="401" w:type="pct"/>
            <w:tcBorders>
              <w:top w:val="single" w:color="000000" w:sz="4" w:space="0"/>
              <w:left w:val="single" w:color="000000" w:sz="4" w:space="0"/>
              <w:bottom w:val="single" w:color="000000" w:sz="4" w:space="0"/>
              <w:right w:val="single" w:color="000000" w:sz="4" w:space="0"/>
            </w:tcBorders>
            <w:shd w:val="clear"/>
            <w:noWrap/>
            <w:vAlign w:val="center"/>
          </w:tcPr>
          <w:p w14:paraId="1CF2CE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3B075A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66980</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268460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0.798950319</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1D7DB1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0.11%</w:t>
            </w:r>
          </w:p>
        </w:tc>
      </w:tr>
      <w:tr w14:paraId="2C4D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62" w:type="pct"/>
            <w:tcBorders>
              <w:top w:val="single" w:color="000000" w:sz="4" w:space="0"/>
              <w:left w:val="single" w:color="000000" w:sz="4" w:space="0"/>
              <w:bottom w:val="single" w:color="000000" w:sz="4" w:space="0"/>
              <w:right w:val="single" w:color="000000" w:sz="4" w:space="0"/>
            </w:tcBorders>
            <w:shd w:val="clear"/>
            <w:vAlign w:val="center"/>
          </w:tcPr>
          <w:p w14:paraId="2A7F45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中型柴油货车运输（单位：公里）</w:t>
            </w:r>
          </w:p>
        </w:tc>
        <w:tc>
          <w:tcPr>
            <w:tcW w:w="624" w:type="pct"/>
            <w:tcBorders>
              <w:top w:val="single" w:color="000000" w:sz="4" w:space="0"/>
              <w:left w:val="single" w:color="000000" w:sz="4" w:space="0"/>
              <w:bottom w:val="single" w:color="000000" w:sz="4" w:space="0"/>
              <w:right w:val="single" w:color="000000" w:sz="4" w:space="0"/>
            </w:tcBorders>
            <w:shd w:val="clear"/>
            <w:noWrap/>
            <w:vAlign w:val="center"/>
          </w:tcPr>
          <w:p w14:paraId="592677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1341.891</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2BA39E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0.1502</w:t>
            </w: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42CE86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kgCO2e/吨公里</w:t>
            </w:r>
          </w:p>
        </w:tc>
        <w:tc>
          <w:tcPr>
            <w:tcW w:w="401" w:type="pct"/>
            <w:tcBorders>
              <w:top w:val="single" w:color="000000" w:sz="4" w:space="0"/>
              <w:left w:val="single" w:color="000000" w:sz="4" w:space="0"/>
              <w:bottom w:val="single" w:color="000000" w:sz="4" w:space="0"/>
              <w:right w:val="single" w:color="000000" w:sz="4" w:space="0"/>
            </w:tcBorders>
            <w:shd w:val="clear"/>
            <w:noWrap/>
            <w:vAlign w:val="center"/>
          </w:tcPr>
          <w:p w14:paraId="464988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69E1C6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844855.7142</w:t>
            </w:r>
          </w:p>
        </w:tc>
        <w:tc>
          <w:tcPr>
            <w:tcW w:w="812" w:type="pct"/>
            <w:tcBorders>
              <w:top w:val="single" w:color="000000" w:sz="4" w:space="0"/>
              <w:left w:val="single" w:color="000000" w:sz="4" w:space="0"/>
              <w:bottom w:val="single" w:color="000000" w:sz="4" w:space="0"/>
              <w:right w:val="single" w:color="000000" w:sz="4" w:space="0"/>
            </w:tcBorders>
            <w:shd w:val="clear"/>
            <w:noWrap/>
            <w:vAlign w:val="center"/>
          </w:tcPr>
          <w:p w14:paraId="2AA5AE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10.07760141</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18DC0B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1.42%</w:t>
            </w:r>
          </w:p>
        </w:tc>
      </w:tr>
    </w:tbl>
    <w:p w14:paraId="32F2BC9E">
      <w:pPr>
        <w:pStyle w:val="9"/>
        <w:rPr>
          <w:rFonts w:hint="default"/>
          <w:color w:val="000000" w:themeColor="text1"/>
          <w:lang w:val="en-US" w:eastAsia="zh-CN"/>
          <w14:textFill>
            <w14:solidFill>
              <w14:schemeClr w14:val="tx1"/>
            </w14:solidFill>
          </w14:textFill>
        </w:rPr>
      </w:pPr>
    </w:p>
    <w:p w14:paraId="4BF2B245">
      <w:pPr>
        <w:pStyle w:val="3"/>
        <w:rPr>
          <w:rFonts w:hint="eastAsia"/>
          <w:color w:val="000000" w:themeColor="text1"/>
          <w:lang w:eastAsia="zh-CN"/>
          <w14:textFill>
            <w14:solidFill>
              <w14:schemeClr w14:val="tx1"/>
            </w14:solidFill>
          </w14:textFill>
        </w:rPr>
      </w:pPr>
    </w:p>
    <w:p w14:paraId="66AECBFB">
      <w:pPr>
        <w:pStyle w:val="9"/>
        <w:numPr>
          <w:ilvl w:val="0"/>
          <w:numId w:val="1"/>
        </w:numPr>
        <w:spacing w:line="360" w:lineRule="auto"/>
        <w:ind w:left="0" w:leftChars="0" w:firstLine="0" w:firstLineChars="0"/>
        <w:outlineLvl w:val="0"/>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结论与建议</w:t>
      </w:r>
    </w:p>
    <w:p w14:paraId="7BBEAF56">
      <w:pPr>
        <w:pStyle w:val="9"/>
        <w:numPr>
          <w:ilvl w:val="1"/>
          <w:numId w:val="1"/>
        </w:numPr>
        <w:spacing w:line="360" w:lineRule="auto"/>
        <w:ind w:firstLineChars="0"/>
        <w:outlineLvl w:val="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碳足迹</w:t>
      </w:r>
      <w:r>
        <w:rPr>
          <w:rFonts w:hint="eastAsia" w:ascii="宋体" w:hAnsi="宋体" w:eastAsia="宋体" w:cs="宋体"/>
          <w:color w:val="000000" w:themeColor="text1"/>
          <w:sz w:val="24"/>
          <w:szCs w:val="24"/>
          <w14:textFill>
            <w14:solidFill>
              <w14:schemeClr w14:val="tx1"/>
            </w14:solidFill>
          </w14:textFill>
        </w:rPr>
        <w:t>数据</w:t>
      </w:r>
      <w:r>
        <w:rPr>
          <w:rFonts w:hint="eastAsia" w:ascii="宋体" w:hAnsi="宋体" w:eastAsia="宋体" w:cs="宋体"/>
          <w:color w:val="000000" w:themeColor="text1"/>
          <w:sz w:val="24"/>
          <w:szCs w:val="24"/>
          <w:lang w:val="en-US" w:eastAsia="zh-CN"/>
          <w14:textFill>
            <w14:solidFill>
              <w14:schemeClr w14:val="tx1"/>
            </w14:solidFill>
          </w14:textFill>
        </w:rPr>
        <w:t>分析</w:t>
      </w:r>
    </w:p>
    <w:p w14:paraId="226A1504">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color w:val="000000" w:themeColor="text1"/>
          <w:sz w:val="24"/>
          <w:szCs w:val="24"/>
          <w:lang w:val="en-US" w:eastAsia="zh-CN"/>
          <w14:textFill>
            <w14:solidFill>
              <w14:schemeClr w14:val="tx1"/>
            </w14:solidFill>
          </w14:textFill>
        </w:rPr>
        <w:t>从表7-1</w:t>
      </w:r>
      <w:r>
        <w:rPr>
          <w:rFonts w:hint="eastAsia" w:ascii="宋体" w:hAnsi="宋体" w:eastAsia="宋体" w:cs="宋体"/>
          <w:color w:val="000000" w:themeColor="text1"/>
          <w:sz w:val="24"/>
          <w:szCs w:val="24"/>
          <w14:textFill>
            <w14:solidFill>
              <w14:schemeClr w14:val="tx1"/>
            </w14:solidFill>
          </w14:textFill>
        </w:rPr>
        <w:t>可以计算出202</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年度公司产品生命周期累计</w:t>
      </w:r>
      <w:r>
        <w:rPr>
          <w:rFonts w:hint="eastAsia" w:ascii="宋体" w:hAnsi="宋体" w:eastAsia="宋体" w:cs="宋体"/>
          <w:color w:val="000000" w:themeColor="text1"/>
          <w:sz w:val="24"/>
          <w:szCs w:val="24"/>
          <w:lang w:val="en-US" w:eastAsia="zh-CN"/>
          <w14:textFill>
            <w14:solidFill>
              <w14:schemeClr w14:val="tx1"/>
            </w14:solidFill>
          </w14:textFill>
        </w:rPr>
        <w:t>碳排放为708.3</w:t>
      </w:r>
      <w:r>
        <w:rPr>
          <w:rFonts w:hint="eastAsia" w:ascii="宋体" w:hAnsi="宋体" w:cs="宋体"/>
          <w:color w:val="000000" w:themeColor="text1"/>
          <w:sz w:val="24"/>
          <w:szCs w:val="24"/>
          <w:lang w:val="en-US" w:eastAsia="zh-CN"/>
          <w14:textFill>
            <w14:solidFill>
              <w14:schemeClr w14:val="tx1"/>
            </w14:solidFill>
          </w14:textFill>
        </w:rPr>
        <w:t>7kgCO2e/套</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全年共生产</w:t>
      </w:r>
      <w:r>
        <w:rPr>
          <w:rFonts w:hint="eastAsia" w:ascii="宋体" w:hAnsi="宋体" w:cs="宋体"/>
          <w:color w:val="000000" w:themeColor="text1"/>
          <w:sz w:val="24"/>
          <w:szCs w:val="24"/>
          <w:lang w:val="en-US" w:eastAsia="zh-CN"/>
          <w14:textFill>
            <w14:solidFill>
              <w14:schemeClr w14:val="tx1"/>
            </w14:solidFill>
          </w14:textFill>
        </w:rPr>
        <w:t>隔离式防雷技术系列产品83835套</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highlight w:val="none"/>
        </w:rPr>
        <w:t>通过以上分析可知，</w:t>
      </w:r>
      <w:r>
        <w:rPr>
          <w:rFonts w:hint="eastAsia" w:ascii="宋体" w:hAnsi="宋体" w:eastAsia="宋体" w:cs="宋体"/>
          <w:sz w:val="24"/>
          <w:highlight w:val="none"/>
          <w:lang w:val="en-US" w:eastAsia="zh-CN"/>
        </w:rPr>
        <w:t>原材料消耗</w:t>
      </w:r>
      <w:r>
        <w:rPr>
          <w:rFonts w:hint="eastAsia" w:ascii="宋体" w:hAnsi="宋体" w:eastAsia="宋体" w:cs="宋体"/>
          <w:sz w:val="24"/>
          <w:highlight w:val="none"/>
        </w:rPr>
        <w:t>对碳足迹的贡献占主导，为增强品牌竞争力、减少产品碳足迹，建议如下：</w:t>
      </w:r>
    </w:p>
    <w:p w14:paraId="083774BC">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优化用能结构，加大可再生能源的利用</w:t>
      </w:r>
      <w:r>
        <w:rPr>
          <w:rFonts w:hint="eastAsia" w:ascii="宋体" w:hAnsi="宋体" w:eastAsia="宋体" w:cs="宋体"/>
          <w:sz w:val="24"/>
          <w:highlight w:val="none"/>
        </w:rPr>
        <w:t>；</w:t>
      </w:r>
    </w:p>
    <w:p w14:paraId="2E99AB62">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2、在原</w:t>
      </w:r>
      <w:r>
        <w:rPr>
          <w:rFonts w:hint="eastAsia" w:ascii="宋体" w:hAnsi="宋体" w:eastAsia="宋体" w:cs="宋体"/>
          <w:sz w:val="24"/>
          <w:highlight w:val="none"/>
          <w:lang w:val="en-US" w:eastAsia="zh-CN"/>
        </w:rPr>
        <w:t>材</w:t>
      </w:r>
      <w:r>
        <w:rPr>
          <w:rFonts w:hint="eastAsia" w:ascii="宋体" w:hAnsi="宋体" w:eastAsia="宋体" w:cs="宋体"/>
          <w:sz w:val="24"/>
          <w:highlight w:val="none"/>
        </w:rPr>
        <w:t>料价位差别不大的情况下，尽量选取原材料碳足迹小的供应商</w:t>
      </w:r>
      <w:r>
        <w:rPr>
          <w:rFonts w:hint="eastAsia" w:ascii="宋体" w:hAnsi="宋体" w:eastAsia="宋体" w:cs="宋体"/>
          <w:sz w:val="24"/>
          <w:highlight w:val="none"/>
          <w:lang w:eastAsia="zh-CN"/>
        </w:rPr>
        <w:t>；</w:t>
      </w:r>
    </w:p>
    <w:p w14:paraId="6FD48E4F">
      <w:pPr>
        <w:pStyle w:val="3"/>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3、重点巡查各耗电设备，定期进行设备检点，必要时对相关落后高耗能设备进行淘汰更换，减少电力消耗；</w:t>
      </w:r>
    </w:p>
    <w:p w14:paraId="52AD2980">
      <w:pPr>
        <w:pStyle w:val="3"/>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4、持续推进绿色低碳发展意识，坚定树立企业可持续发展原则，加强生命周期理念的宣传和实践；</w:t>
      </w:r>
    </w:p>
    <w:p w14:paraId="60011C84">
      <w:pPr>
        <w:pStyle w:val="3"/>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5、推行节能降耗培训工作，提升员工节能降耗意识，挖掘内部节能潜力，通过设备改进和工艺优化等措施，减少能源消耗，降低温室气体排放量。</w:t>
      </w:r>
    </w:p>
    <w:p w14:paraId="2C6B9AE0">
      <w:pPr>
        <w:pStyle w:val="3"/>
        <w:ind w:left="0" w:leftChars="0" w:firstLine="0" w:firstLineChars="0"/>
        <w:rPr>
          <w:rFonts w:hint="eastAsia" w:eastAsia="宋体"/>
          <w:color w:val="000000" w:themeColor="text1"/>
          <w:lang w:eastAsia="zh-CN"/>
          <w14:textFill>
            <w14:solidFill>
              <w14:schemeClr w14:val="tx1"/>
            </w14:solidFill>
          </w14:textFill>
        </w:rPr>
      </w:pPr>
    </w:p>
    <w:p w14:paraId="0FCA4F8C">
      <w:pPr>
        <w:pStyle w:val="3"/>
        <w:ind w:left="0" w:leftChars="0" w:firstLine="0" w:firstLineChars="0"/>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drawing>
          <wp:inline distT="0" distB="0" distL="114300" distR="114300">
            <wp:extent cx="5256530" cy="2988310"/>
            <wp:effectExtent l="5080" t="4445" r="5715" b="7620"/>
            <wp:docPr id="5" name="图表 5" descr="7b0a202020202263686172745265734964223a2022343635303039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35686E2">
      <w:pPr>
        <w:pStyle w:val="3"/>
        <w:rPr>
          <w:rFonts w:hint="eastAsia" w:ascii="宋体" w:hAnsi="宋体" w:eastAsia="宋体" w:cs="宋体"/>
          <w:color w:val="000000" w:themeColor="text1"/>
          <w:sz w:val="24"/>
          <w:szCs w:val="24"/>
          <w14:textFill>
            <w14:solidFill>
              <w14:schemeClr w14:val="tx1"/>
            </w14:solidFill>
          </w14:textFill>
        </w:rPr>
      </w:pPr>
    </w:p>
    <w:p w14:paraId="79F91ABB">
      <w:pPr>
        <w:pStyle w:val="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图</w:t>
      </w:r>
      <w:r>
        <w:rPr>
          <w:rFonts w:hint="eastAsia" w:hAnsi="宋体" w:eastAsia="宋体" w:cs="宋体"/>
          <w:color w:val="000000" w:themeColor="text1"/>
          <w:sz w:val="24"/>
          <w:szCs w:val="24"/>
          <w:lang w:val="en-US" w:eastAsia="zh-CN"/>
          <w14:textFill>
            <w14:solidFill>
              <w14:schemeClr w14:val="tx1"/>
            </w14:solidFill>
          </w14:textFill>
        </w:rPr>
        <w:t xml:space="preserve">8-1 </w:t>
      </w:r>
      <w:r>
        <w:rPr>
          <w:rFonts w:hint="eastAsia" w:hAnsi="宋体" w:cs="宋体"/>
          <w:color w:val="000000" w:themeColor="text1"/>
          <w:sz w:val="24"/>
          <w:szCs w:val="24"/>
          <w:lang w:eastAsia="zh-CN"/>
          <w14:textFill>
            <w14:solidFill>
              <w14:schemeClr w14:val="tx1"/>
            </w14:solidFill>
          </w14:textFill>
        </w:rPr>
        <w:t>隔离式防雷技术系列产品</w:t>
      </w:r>
      <w:r>
        <w:rPr>
          <w:rFonts w:hint="eastAsia" w:ascii="宋体" w:hAnsi="宋体" w:eastAsia="宋体" w:cs="宋体"/>
          <w:color w:val="000000" w:themeColor="text1"/>
          <w:sz w:val="24"/>
          <w:szCs w:val="24"/>
          <w14:textFill>
            <w14:solidFill>
              <w14:schemeClr w14:val="tx1"/>
            </w14:solidFill>
          </w14:textFill>
        </w:rPr>
        <w:t>各生命周期阶段碳排放分布图</w:t>
      </w:r>
    </w:p>
    <w:p w14:paraId="263B5E46">
      <w:pPr>
        <w:pStyle w:val="3"/>
        <w:jc w:val="center"/>
        <w:rPr>
          <w:rFonts w:hint="eastAsia" w:ascii="宋体" w:hAnsi="宋体" w:eastAsia="宋体" w:cs="宋体"/>
          <w:color w:val="000000" w:themeColor="text1"/>
          <w:sz w:val="24"/>
          <w:szCs w:val="24"/>
          <w14:textFill>
            <w14:solidFill>
              <w14:schemeClr w14:val="tx1"/>
            </w14:solidFill>
          </w14:textFill>
        </w:rPr>
      </w:pPr>
    </w:p>
    <w:p w14:paraId="38DB39DE">
      <w:pPr>
        <w:pStyle w:val="3"/>
        <w:jc w:val="center"/>
        <w:rPr>
          <w:rFonts w:hint="eastAsia" w:ascii="宋体" w:hAnsi="宋体" w:eastAsia="宋体" w:cs="宋体"/>
          <w:color w:val="000000" w:themeColor="text1"/>
          <w:sz w:val="24"/>
          <w:szCs w:val="24"/>
          <w14:textFill>
            <w14:solidFill>
              <w14:schemeClr w14:val="tx1"/>
            </w14:solidFill>
          </w14:textFill>
        </w:rPr>
      </w:pPr>
    </w:p>
    <w:p w14:paraId="0CAE03F5">
      <w:pPr>
        <w:pStyle w:val="9"/>
        <w:numPr>
          <w:ilvl w:val="1"/>
          <w:numId w:val="1"/>
        </w:numPr>
        <w:spacing w:line="360" w:lineRule="auto"/>
        <w:ind w:firstLineChars="0"/>
        <w:outlineLvl w:val="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建议</w:t>
      </w:r>
    </w:p>
    <w:p w14:paraId="05567161">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所以为了</w:t>
      </w:r>
      <w:r>
        <w:rPr>
          <w:rFonts w:hint="eastAsia" w:ascii="宋体" w:hAnsi="宋体" w:eastAsia="宋体" w:cs="宋体"/>
          <w:color w:val="000000" w:themeColor="text1"/>
          <w:sz w:val="24"/>
          <w:szCs w:val="24"/>
          <w:lang w:eastAsia="zh-CN"/>
          <w14:textFill>
            <w14:solidFill>
              <w14:schemeClr w14:val="tx1"/>
            </w14:solidFill>
          </w14:textFill>
        </w:rPr>
        <w:t>减少</w:t>
      </w:r>
      <w:r>
        <w:rPr>
          <w:rFonts w:hint="eastAsia" w:ascii="宋体" w:hAnsi="宋体" w:eastAsia="宋体" w:cs="宋体"/>
          <w:color w:val="000000" w:themeColor="text1"/>
          <w:sz w:val="24"/>
          <w:szCs w:val="24"/>
          <w14:textFill>
            <w14:solidFill>
              <w14:schemeClr w14:val="tx1"/>
            </w14:solidFill>
          </w14:textFill>
        </w:rPr>
        <w:t>单位产品碳足迹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建议如下：</w:t>
      </w:r>
    </w:p>
    <w:p w14:paraId="5DA5BCC7">
      <w:pPr>
        <w:numPr>
          <w:ilvl w:val="0"/>
          <w:numId w:val="6"/>
        </w:num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对供应商提出节能减排要求</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并对供应商加以考核</w:t>
      </w:r>
      <w:r>
        <w:rPr>
          <w:rFonts w:hint="eastAsia" w:ascii="宋体" w:hAnsi="宋体" w:eastAsia="宋体" w:cs="宋体"/>
          <w:color w:val="000000" w:themeColor="text1"/>
          <w:sz w:val="24"/>
          <w:szCs w:val="24"/>
          <w:lang w:eastAsia="zh-CN"/>
          <w14:textFill>
            <w14:solidFill>
              <w14:schemeClr w14:val="tx1"/>
            </w14:solidFill>
          </w14:textFill>
        </w:rPr>
        <w:t>。</w:t>
      </w:r>
    </w:p>
    <w:p w14:paraId="1DCB084D">
      <w:pPr>
        <w:numPr>
          <w:ilvl w:val="0"/>
          <w:numId w:val="6"/>
        </w:num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通过改变运输方式、提高单次运输效率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油改电</w:t>
      </w:r>
      <w:r>
        <w:rPr>
          <w:rFonts w:hint="eastAsia" w:ascii="宋体" w:hAnsi="宋体" w:eastAsia="宋体" w:cs="宋体"/>
          <w:color w:val="000000" w:themeColor="text1"/>
          <w:sz w:val="24"/>
          <w:szCs w:val="24"/>
          <w14:textFill>
            <w14:solidFill>
              <w14:schemeClr w14:val="tx1"/>
            </w14:solidFill>
          </w14:textFill>
        </w:rPr>
        <w:t>，有效减少运输过程中燃料的</w:t>
      </w:r>
      <w:r>
        <w:rPr>
          <w:rFonts w:hint="eastAsia" w:ascii="宋体" w:hAnsi="宋体" w:eastAsia="宋体" w:cs="宋体"/>
          <w:color w:val="000000" w:themeColor="text1"/>
          <w:sz w:val="24"/>
          <w:szCs w:val="24"/>
          <w:lang w:eastAsia="zh-CN"/>
          <w14:textFill>
            <w14:solidFill>
              <w14:schemeClr w14:val="tx1"/>
            </w14:solidFill>
          </w14:textFill>
        </w:rPr>
        <w:t>消费，</w:t>
      </w:r>
      <w:r>
        <w:rPr>
          <w:rFonts w:hint="eastAsia" w:ascii="宋体" w:hAnsi="宋体" w:eastAsia="宋体" w:cs="宋体"/>
          <w:color w:val="000000" w:themeColor="text1"/>
          <w:sz w:val="24"/>
          <w:szCs w:val="24"/>
          <w14:textFill>
            <w14:solidFill>
              <w14:schemeClr w14:val="tx1"/>
            </w14:solidFill>
          </w14:textFill>
        </w:rPr>
        <w:t>加大对产品生产和运输过程中的节能降耗管理</w:t>
      </w:r>
      <w:r>
        <w:rPr>
          <w:rFonts w:hint="eastAsia" w:ascii="宋体" w:hAnsi="宋体" w:eastAsia="宋体" w:cs="宋体"/>
          <w:color w:val="000000" w:themeColor="text1"/>
          <w:sz w:val="24"/>
          <w:szCs w:val="24"/>
          <w:lang w:eastAsia="zh-CN"/>
          <w14:textFill>
            <w14:solidFill>
              <w14:schemeClr w14:val="tx1"/>
            </w14:solidFill>
          </w14:textFill>
        </w:rPr>
        <w:t>。</w:t>
      </w:r>
    </w:p>
    <w:p w14:paraId="081360DB">
      <w:pPr>
        <w:numPr>
          <w:ilvl w:val="0"/>
          <w:numId w:val="6"/>
        </w:num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重点巡查各耗电设备，定期进行设备检点，必要时建立能源管理平台对重点设备的能耗实时监测分析。</w:t>
      </w:r>
    </w:p>
    <w:p w14:paraId="1781D9C2">
      <w:pPr>
        <w:numPr>
          <w:ilvl w:val="0"/>
          <w:numId w:val="6"/>
        </w:num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续推进绿色低碳发展意识，坚定树立企业可持续发展原则，加强生命周期理念的宣传和实践。运用科学方法，加强产品碳足迹全过程中数据的积累和记录，定期对产品全生命周期的环境影响进行自查，以便企业内部开展相关对比分析，发现问题。在生态设计管理、组织、人员等方面进一步完善。</w:t>
      </w:r>
    </w:p>
    <w:p w14:paraId="752F8DD9">
      <w:pPr>
        <w:numPr>
          <w:ilvl w:val="0"/>
          <w:numId w:val="6"/>
        </w:num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推行节能降耗培训工作，提升员工节能降耗意识，挖掘内部节能潜力，通过设备改进和工艺优化等措施，减少能源消耗，降低温室气体排放量。</w:t>
      </w:r>
    </w:p>
    <w:p w14:paraId="12F7DB42">
      <w:pPr>
        <w:numPr>
          <w:ilvl w:val="0"/>
          <w:numId w:val="6"/>
        </w:num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生产过程的电力消耗使用占比最大，可通过设备改进、工艺优化，有效减少生产过程中的电力消耗</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光伏</w:t>
      </w:r>
      <w:r>
        <w:rPr>
          <w:rFonts w:hint="eastAsia" w:ascii="宋体" w:hAnsi="宋体" w:eastAsia="宋体" w:cs="宋体"/>
          <w:color w:val="000000" w:themeColor="text1"/>
          <w:sz w:val="24"/>
          <w:szCs w:val="24"/>
          <w:lang w:val="en-US" w:eastAsia="zh-CN"/>
          <w14:textFill>
            <w14:solidFill>
              <w14:schemeClr w14:val="tx1"/>
            </w14:solidFill>
          </w14:textFill>
        </w:rPr>
        <w:t>发电、余压余热、储能</w:t>
      </w:r>
      <w:r>
        <w:rPr>
          <w:rFonts w:hint="eastAsia" w:ascii="宋体" w:hAnsi="宋体" w:eastAsia="宋体" w:cs="宋体"/>
          <w:color w:val="000000" w:themeColor="text1"/>
          <w:sz w:val="24"/>
          <w:szCs w:val="24"/>
          <w14:textFill>
            <w14:solidFill>
              <w14:schemeClr w14:val="tx1"/>
            </w14:solidFill>
          </w14:textFill>
        </w:rPr>
        <w:t>，进而减少生产过程中温室气体排放</w:t>
      </w:r>
      <w:r>
        <w:rPr>
          <w:rFonts w:hint="eastAsia" w:ascii="宋体" w:hAnsi="宋体" w:eastAsia="宋体" w:cs="宋体"/>
          <w:color w:val="000000" w:themeColor="text1"/>
          <w:sz w:val="24"/>
          <w:szCs w:val="24"/>
          <w:lang w:eastAsia="zh-CN"/>
          <w14:textFill>
            <w14:solidFill>
              <w14:schemeClr w14:val="tx1"/>
            </w14:solidFill>
          </w14:textFill>
        </w:rPr>
        <w:t>。</w:t>
      </w:r>
    </w:p>
    <w:p w14:paraId="09E83FA1">
      <w:pPr>
        <w:rPr>
          <w:rFonts w:hint="eastAsia"/>
          <w:color w:val="000000" w:themeColor="text1"/>
          <w:lang w:eastAsia="zh-CN"/>
          <w14:textFill>
            <w14:solidFill>
              <w14:schemeClr w14:val="tx1"/>
            </w14:solidFill>
          </w14:textFill>
        </w:rPr>
      </w:pPr>
    </w:p>
    <w:p w14:paraId="017E5BA7">
      <w:pPr>
        <w:pStyle w:val="3"/>
        <w:rPr>
          <w:rFonts w:hint="eastAsia" w:ascii="宋体" w:hAnsi="宋体" w:eastAsia="宋体" w:cs="宋体"/>
          <w:color w:val="000000" w:themeColor="text1"/>
          <w:sz w:val="24"/>
          <w:szCs w:val="24"/>
          <w:lang w:eastAsia="zh-CN"/>
          <w14:textFill>
            <w14:solidFill>
              <w14:schemeClr w14:val="tx1"/>
            </w14:solidFill>
          </w14:textFill>
        </w:rPr>
      </w:pPr>
    </w:p>
    <w:p w14:paraId="4B932B41">
      <w:pPr>
        <w:pStyle w:val="9"/>
        <w:numPr>
          <w:ilvl w:val="0"/>
          <w:numId w:val="1"/>
        </w:numPr>
        <w:spacing w:line="360" w:lineRule="auto"/>
        <w:ind w:left="0" w:leftChars="0" w:firstLine="0" w:firstLineChars="0"/>
        <w:outlineLvl w:val="0"/>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不确定性分析</w:t>
      </w:r>
    </w:p>
    <w:p w14:paraId="675DDF6D">
      <w:pPr>
        <w:pStyle w:val="3"/>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不确定性的主要来源为初级数据存在测量误差和计算误差。减少不确定性的方法主要有：</w:t>
      </w:r>
    </w:p>
    <w:p w14:paraId="6D6F007D">
      <w:pPr>
        <w:numPr>
          <w:ilvl w:val="0"/>
          <w:numId w:val="7"/>
        </w:num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使用准确率较高的初级数据；</w:t>
      </w:r>
    </w:p>
    <w:p w14:paraId="0B36EE8B">
      <w:pPr>
        <w:numPr>
          <w:ilvl w:val="0"/>
          <w:numId w:val="7"/>
        </w:num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对每道工序都进行能源消耗的跟踪监测，提高初级数据的准确性。</w:t>
      </w:r>
    </w:p>
    <w:p w14:paraId="2A8BE4B5">
      <w:pPr>
        <w:pStyle w:val="3"/>
        <w:rPr>
          <w:rFonts w:hint="eastAsia" w:ascii="宋体" w:hAnsi="宋体" w:eastAsia="宋体" w:cs="宋体"/>
          <w:color w:val="000000" w:themeColor="text1"/>
          <w:sz w:val="24"/>
          <w:szCs w:val="24"/>
          <w:lang w:eastAsia="zh-CN"/>
          <w14:textFill>
            <w14:solidFill>
              <w14:schemeClr w14:val="tx1"/>
            </w14:solidFill>
          </w14:textFill>
        </w:rPr>
      </w:pPr>
    </w:p>
    <w:p w14:paraId="1E8A0D4A">
      <w:pPr>
        <w:pStyle w:val="9"/>
        <w:numPr>
          <w:ilvl w:val="0"/>
          <w:numId w:val="1"/>
        </w:numPr>
        <w:spacing w:line="360" w:lineRule="auto"/>
        <w:ind w:left="0" w:leftChars="0" w:firstLine="0" w:firstLineChars="0"/>
        <w:outlineLvl w:val="0"/>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结语</w:t>
      </w:r>
    </w:p>
    <w:p w14:paraId="78F4A2DD">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产品碳足迹核算以生命周期为视角，可以帮助企业避免只关注与产品生产最直接或最明显相关的排放环节，抓住产品生命周期中其他环节上的重要减排和节约成本的机会。产品碳足迹核算还可以帮助企业理清其产品组合中的温室气体排放情况，因为温室气体排放通常与能源使用有关，因而可以侧面反映产品系统运营效率的高低，帮助企业发掘减少排放及节约成本的机会。</w:t>
      </w:r>
    </w:p>
    <w:p w14:paraId="4E0BEC4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产品碳足迹核算提高了产品本身的附加值，可以作为卖点起到良好的宣传效果，有利于产品市场竞争；通过产品碳足迹核算，企业可以充分了解产品各环节的能源消耗和碳排放情况，方便低碳管理、节能降耗，节约生产成本；同时，产品碳足迹核算是一种环境友好行为，是企业响应国家政策、履行社会责任的体现，有助于产品生产企业品牌价值的提升。</w:t>
      </w:r>
    </w:p>
    <w:p w14:paraId="7618C59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产品碳足迹核算制度俨然已成为各国应对气候变化，发展低碳经济的全新阐述方式，并可能成为一种潜在的新型贸易壁垒，潜移默化地影响中国出口产业，面对不断变化的外界环境中国企业需被迫符合下游国家和企业的强制碳核算要求。低碳是企业未来生存和发展的必然选择，企业进行产品碳足迹的核算是企业实现温室气体管理，制定低碳发展战略的第一步。通过产品生命周期的碳足迹核算，企业可以了解排放源，明确各生产环节的排放量，为制定合理的减排目标和发展战略打下基础。</w:t>
      </w:r>
    </w:p>
    <w:p w14:paraId="17E98344">
      <w:pPr>
        <w:rPr>
          <w:rFonts w:hint="eastAsia" w:ascii="宋体" w:hAnsi="宋体" w:eastAsia="宋体" w:cs="宋体"/>
          <w:sz w:val="28"/>
        </w:rPr>
      </w:pPr>
    </w:p>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28D10">
    <w:pPr>
      <w:pStyle w:val="7"/>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w:t>
    </w:r>
    <w:r>
      <w:rPr>
        <w:sz w:val="21"/>
        <w:szCs w:val="21"/>
      </w:rPr>
      <w:fldChar w:fldCharType="end"/>
    </w:r>
  </w:p>
  <w:p w14:paraId="21A46EB5">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C25CD"/>
    <w:multiLevelType w:val="singleLevel"/>
    <w:tmpl w:val="84FC25CD"/>
    <w:lvl w:ilvl="0" w:tentative="0">
      <w:start w:val="1"/>
      <w:numFmt w:val="bullet"/>
      <w:lvlText w:val=""/>
      <w:lvlJc w:val="left"/>
      <w:pPr>
        <w:ind w:left="420" w:hanging="420"/>
      </w:pPr>
      <w:rPr>
        <w:rFonts w:hint="default" w:ascii="Wingdings" w:hAnsi="Wingdings"/>
      </w:rPr>
    </w:lvl>
  </w:abstractNum>
  <w:abstractNum w:abstractNumId="1">
    <w:nsid w:val="C755BB01"/>
    <w:multiLevelType w:val="singleLevel"/>
    <w:tmpl w:val="C755BB01"/>
    <w:lvl w:ilvl="0" w:tentative="0">
      <w:start w:val="1"/>
      <w:numFmt w:val="decimal"/>
      <w:lvlText w:val="%1)"/>
      <w:lvlJc w:val="left"/>
      <w:pPr>
        <w:ind w:left="425" w:hanging="425"/>
      </w:pPr>
      <w:rPr>
        <w:rFonts w:hint="default"/>
      </w:rPr>
    </w:lvl>
  </w:abstractNum>
  <w:abstractNum w:abstractNumId="2">
    <w:nsid w:val="FE010F99"/>
    <w:multiLevelType w:val="singleLevel"/>
    <w:tmpl w:val="FE010F99"/>
    <w:lvl w:ilvl="0" w:tentative="0">
      <w:start w:val="1"/>
      <w:numFmt w:val="decimal"/>
      <w:suff w:val="nothing"/>
      <w:lvlText w:val="（%1）"/>
      <w:lvlJc w:val="left"/>
    </w:lvl>
  </w:abstractNum>
  <w:abstractNum w:abstractNumId="3">
    <w:nsid w:val="26FEFA74"/>
    <w:multiLevelType w:val="singleLevel"/>
    <w:tmpl w:val="26FEFA74"/>
    <w:lvl w:ilvl="0" w:tentative="0">
      <w:start w:val="1"/>
      <w:numFmt w:val="decimal"/>
      <w:suff w:val="nothing"/>
      <w:lvlText w:val="（%1）"/>
      <w:lvlJc w:val="left"/>
    </w:lvl>
  </w:abstractNum>
  <w:abstractNum w:abstractNumId="4">
    <w:nsid w:val="278B4EFE"/>
    <w:multiLevelType w:val="singleLevel"/>
    <w:tmpl w:val="278B4EFE"/>
    <w:lvl w:ilvl="0" w:tentative="0">
      <w:start w:val="1"/>
      <w:numFmt w:val="decimal"/>
      <w:suff w:val="nothing"/>
      <w:lvlText w:val="（%1）"/>
      <w:lvlJc w:val="left"/>
    </w:lvl>
  </w:abstractNum>
  <w:abstractNum w:abstractNumId="5">
    <w:nsid w:val="42235631"/>
    <w:multiLevelType w:val="singleLevel"/>
    <w:tmpl w:val="42235631"/>
    <w:lvl w:ilvl="0" w:tentative="0">
      <w:start w:val="1"/>
      <w:numFmt w:val="decimal"/>
      <w:lvlText w:val="%1)"/>
      <w:lvlJc w:val="left"/>
      <w:pPr>
        <w:ind w:left="425" w:hanging="425"/>
      </w:pPr>
      <w:rPr>
        <w:rFonts w:hint="default"/>
      </w:rPr>
    </w:lvl>
  </w:abstractNum>
  <w:abstractNum w:abstractNumId="6">
    <w:nsid w:val="79EE4B2C"/>
    <w:multiLevelType w:val="multilevel"/>
    <w:tmpl w:val="79EE4B2C"/>
    <w:lvl w:ilvl="0" w:tentative="0">
      <w:start w:val="1"/>
      <w:numFmt w:val="chineseCounting"/>
      <w:suff w:val="nothing"/>
      <w:lvlText w:val="%1、"/>
      <w:lvlJc w:val="left"/>
      <w:pPr>
        <w:ind w:left="0" w:firstLine="420"/>
      </w:pPr>
      <w:rPr>
        <w:rFonts w:hint="eastAsia" w:ascii="宋体" w:hAnsi="宋体" w:eastAsia="宋体" w:cs="宋体"/>
        <w:b/>
        <w:bCs/>
        <w:sz w:val="32"/>
        <w:szCs w:val="32"/>
      </w:rPr>
    </w:lvl>
    <w:lvl w:ilvl="1" w:tentative="0">
      <w:start w:val="1"/>
      <w:numFmt w:val="decim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YjNmZDlhYWFlMDE4NGQ5M2EzNmEzODQ1ODNlNjMifQ=="/>
  </w:docVars>
  <w:rsids>
    <w:rsidRoot w:val="00172A27"/>
    <w:rsid w:val="000358CF"/>
    <w:rsid w:val="00085C68"/>
    <w:rsid w:val="000D52E4"/>
    <w:rsid w:val="000F1478"/>
    <w:rsid w:val="00132D88"/>
    <w:rsid w:val="00144F7D"/>
    <w:rsid w:val="00172A27"/>
    <w:rsid w:val="001B0711"/>
    <w:rsid w:val="001D192A"/>
    <w:rsid w:val="001E5A4B"/>
    <w:rsid w:val="0020328C"/>
    <w:rsid w:val="00293B53"/>
    <w:rsid w:val="002D1C97"/>
    <w:rsid w:val="003819BC"/>
    <w:rsid w:val="005C046F"/>
    <w:rsid w:val="006206B0"/>
    <w:rsid w:val="00695EDD"/>
    <w:rsid w:val="006C2AEA"/>
    <w:rsid w:val="007D4B26"/>
    <w:rsid w:val="007E7C96"/>
    <w:rsid w:val="00813547"/>
    <w:rsid w:val="00820722"/>
    <w:rsid w:val="0086587C"/>
    <w:rsid w:val="00906F6D"/>
    <w:rsid w:val="00931FEC"/>
    <w:rsid w:val="00966D19"/>
    <w:rsid w:val="009E0A4B"/>
    <w:rsid w:val="00A0082C"/>
    <w:rsid w:val="00A47B02"/>
    <w:rsid w:val="00AD62CD"/>
    <w:rsid w:val="00AF4560"/>
    <w:rsid w:val="00B3502D"/>
    <w:rsid w:val="00B5443F"/>
    <w:rsid w:val="00B657B7"/>
    <w:rsid w:val="00B703AA"/>
    <w:rsid w:val="00C20748"/>
    <w:rsid w:val="00CC16E0"/>
    <w:rsid w:val="00D2571A"/>
    <w:rsid w:val="00D56607"/>
    <w:rsid w:val="00D6455A"/>
    <w:rsid w:val="00DC6AE4"/>
    <w:rsid w:val="00E21004"/>
    <w:rsid w:val="00E36631"/>
    <w:rsid w:val="00F36B24"/>
    <w:rsid w:val="00F619F1"/>
    <w:rsid w:val="00F80DB8"/>
    <w:rsid w:val="00FD4766"/>
    <w:rsid w:val="0200793B"/>
    <w:rsid w:val="033B33C5"/>
    <w:rsid w:val="03C02175"/>
    <w:rsid w:val="03C055D4"/>
    <w:rsid w:val="04A516FA"/>
    <w:rsid w:val="05546ADD"/>
    <w:rsid w:val="088B5E2C"/>
    <w:rsid w:val="08B3277E"/>
    <w:rsid w:val="0B673A51"/>
    <w:rsid w:val="0D1A3FA7"/>
    <w:rsid w:val="0E482DD0"/>
    <w:rsid w:val="10EA0B6F"/>
    <w:rsid w:val="117E581C"/>
    <w:rsid w:val="12903BF7"/>
    <w:rsid w:val="136A0B16"/>
    <w:rsid w:val="15022B67"/>
    <w:rsid w:val="16300397"/>
    <w:rsid w:val="17C70CC0"/>
    <w:rsid w:val="19707E77"/>
    <w:rsid w:val="19EB2372"/>
    <w:rsid w:val="1A5D1977"/>
    <w:rsid w:val="1DB7071D"/>
    <w:rsid w:val="1E7F1D43"/>
    <w:rsid w:val="1F2B1ECA"/>
    <w:rsid w:val="1FEBDD5D"/>
    <w:rsid w:val="204E38D9"/>
    <w:rsid w:val="20EA051C"/>
    <w:rsid w:val="21DE7BFD"/>
    <w:rsid w:val="24311D7C"/>
    <w:rsid w:val="25175297"/>
    <w:rsid w:val="25CD1E0C"/>
    <w:rsid w:val="25DFF65C"/>
    <w:rsid w:val="260E4A51"/>
    <w:rsid w:val="26B6109A"/>
    <w:rsid w:val="2909286D"/>
    <w:rsid w:val="2B744CAC"/>
    <w:rsid w:val="2C7DC6ED"/>
    <w:rsid w:val="2E3610EB"/>
    <w:rsid w:val="2FD6453F"/>
    <w:rsid w:val="31694A6F"/>
    <w:rsid w:val="31957CCC"/>
    <w:rsid w:val="31FF97D9"/>
    <w:rsid w:val="325C7AFC"/>
    <w:rsid w:val="33574D5E"/>
    <w:rsid w:val="33BF1B11"/>
    <w:rsid w:val="33CF3883"/>
    <w:rsid w:val="346F4329"/>
    <w:rsid w:val="366977C5"/>
    <w:rsid w:val="36BB5BB8"/>
    <w:rsid w:val="371E67E5"/>
    <w:rsid w:val="37713C4A"/>
    <w:rsid w:val="37992711"/>
    <w:rsid w:val="39AF615D"/>
    <w:rsid w:val="3B5FBE28"/>
    <w:rsid w:val="3BB94A84"/>
    <w:rsid w:val="3BBF4BDF"/>
    <w:rsid w:val="3BEF384C"/>
    <w:rsid w:val="3CEDF3BD"/>
    <w:rsid w:val="3E8B73CF"/>
    <w:rsid w:val="3EBFFB82"/>
    <w:rsid w:val="3FBF989C"/>
    <w:rsid w:val="3FDD1070"/>
    <w:rsid w:val="3FE936DD"/>
    <w:rsid w:val="3FEB0BF5"/>
    <w:rsid w:val="42C267AB"/>
    <w:rsid w:val="43D7F8A9"/>
    <w:rsid w:val="44142EE5"/>
    <w:rsid w:val="451028A4"/>
    <w:rsid w:val="47A61FBE"/>
    <w:rsid w:val="4970325B"/>
    <w:rsid w:val="4AAC0541"/>
    <w:rsid w:val="4AB65576"/>
    <w:rsid w:val="4ABF4DCB"/>
    <w:rsid w:val="4AFD2237"/>
    <w:rsid w:val="4DAD6D75"/>
    <w:rsid w:val="4DBA7306"/>
    <w:rsid w:val="4E3F2257"/>
    <w:rsid w:val="4ECB5CE6"/>
    <w:rsid w:val="4F761ADB"/>
    <w:rsid w:val="4F8BBAF5"/>
    <w:rsid w:val="4FFF512C"/>
    <w:rsid w:val="503B625B"/>
    <w:rsid w:val="50C14BE4"/>
    <w:rsid w:val="512C1B2C"/>
    <w:rsid w:val="523D692B"/>
    <w:rsid w:val="529478DC"/>
    <w:rsid w:val="537D72D2"/>
    <w:rsid w:val="54B76168"/>
    <w:rsid w:val="555A427E"/>
    <w:rsid w:val="55D34B2B"/>
    <w:rsid w:val="55FF46D5"/>
    <w:rsid w:val="56EF7B4E"/>
    <w:rsid w:val="577B227D"/>
    <w:rsid w:val="57A7251E"/>
    <w:rsid w:val="57BC1CEB"/>
    <w:rsid w:val="583515F8"/>
    <w:rsid w:val="592E2757"/>
    <w:rsid w:val="59D91322"/>
    <w:rsid w:val="59E80A54"/>
    <w:rsid w:val="5A5C386E"/>
    <w:rsid w:val="5BD25163"/>
    <w:rsid w:val="5D3F017F"/>
    <w:rsid w:val="5EAA2DE6"/>
    <w:rsid w:val="5EFF1A88"/>
    <w:rsid w:val="5F4D54F9"/>
    <w:rsid w:val="5F7BDD52"/>
    <w:rsid w:val="5F7F612F"/>
    <w:rsid w:val="5FB32C87"/>
    <w:rsid w:val="5FDB17E3"/>
    <w:rsid w:val="5FF218C5"/>
    <w:rsid w:val="5FF74533"/>
    <w:rsid w:val="5FF7A968"/>
    <w:rsid w:val="61A53C33"/>
    <w:rsid w:val="649B426E"/>
    <w:rsid w:val="657FCD21"/>
    <w:rsid w:val="660E3012"/>
    <w:rsid w:val="66311453"/>
    <w:rsid w:val="66E3A870"/>
    <w:rsid w:val="67C526A2"/>
    <w:rsid w:val="6AEFD85A"/>
    <w:rsid w:val="6BFF0294"/>
    <w:rsid w:val="6C2917C6"/>
    <w:rsid w:val="6C7FC5D9"/>
    <w:rsid w:val="6D7C813E"/>
    <w:rsid w:val="6DBE1CD7"/>
    <w:rsid w:val="6DF32827"/>
    <w:rsid w:val="6F678E07"/>
    <w:rsid w:val="6FC7F955"/>
    <w:rsid w:val="6FE66EDD"/>
    <w:rsid w:val="71BBECD8"/>
    <w:rsid w:val="73376093"/>
    <w:rsid w:val="74275AAB"/>
    <w:rsid w:val="74443E0D"/>
    <w:rsid w:val="747FD8E0"/>
    <w:rsid w:val="75BE4662"/>
    <w:rsid w:val="75EB9B88"/>
    <w:rsid w:val="75FDCB60"/>
    <w:rsid w:val="76BE9E85"/>
    <w:rsid w:val="7730C593"/>
    <w:rsid w:val="775E509E"/>
    <w:rsid w:val="775F8127"/>
    <w:rsid w:val="77A06F50"/>
    <w:rsid w:val="77D34E06"/>
    <w:rsid w:val="77FD4972"/>
    <w:rsid w:val="78F96963"/>
    <w:rsid w:val="7937698E"/>
    <w:rsid w:val="7975AC4A"/>
    <w:rsid w:val="7AE854CE"/>
    <w:rsid w:val="7B4F69E8"/>
    <w:rsid w:val="7BB358F5"/>
    <w:rsid w:val="7BB390B1"/>
    <w:rsid w:val="7BEBCC1B"/>
    <w:rsid w:val="7D739E01"/>
    <w:rsid w:val="7DBBE777"/>
    <w:rsid w:val="7DDFE294"/>
    <w:rsid w:val="7DEF7EB4"/>
    <w:rsid w:val="7E7ED4DA"/>
    <w:rsid w:val="7E9BCF0D"/>
    <w:rsid w:val="7EBF48B1"/>
    <w:rsid w:val="7EFFDC2D"/>
    <w:rsid w:val="7F77AA00"/>
    <w:rsid w:val="7F7F36CF"/>
    <w:rsid w:val="7F9702E1"/>
    <w:rsid w:val="7FA7DF11"/>
    <w:rsid w:val="7FD402A7"/>
    <w:rsid w:val="7FDF3CFD"/>
    <w:rsid w:val="7FEDF7B8"/>
    <w:rsid w:val="7FF7946C"/>
    <w:rsid w:val="7FF8A907"/>
    <w:rsid w:val="8FFFDA34"/>
    <w:rsid w:val="95FFA395"/>
    <w:rsid w:val="9A7E413F"/>
    <w:rsid w:val="9FBDDAC8"/>
    <w:rsid w:val="AA6F6D02"/>
    <w:rsid w:val="B6E73552"/>
    <w:rsid w:val="B7A7FAF8"/>
    <w:rsid w:val="B7DFFD48"/>
    <w:rsid w:val="BBFF0068"/>
    <w:rsid w:val="BCFEB7A4"/>
    <w:rsid w:val="BE3DB476"/>
    <w:rsid w:val="BEB3C197"/>
    <w:rsid w:val="BEF70B73"/>
    <w:rsid w:val="BF55FF05"/>
    <w:rsid w:val="BFC98E4A"/>
    <w:rsid w:val="C7DBF46F"/>
    <w:rsid w:val="CBFF8671"/>
    <w:rsid w:val="CF67EFC2"/>
    <w:rsid w:val="CFE609C6"/>
    <w:rsid w:val="CFFBA242"/>
    <w:rsid w:val="D4FE9DC8"/>
    <w:rsid w:val="D5DE96CD"/>
    <w:rsid w:val="D5E38A51"/>
    <w:rsid w:val="D5FC851A"/>
    <w:rsid w:val="D77FABCA"/>
    <w:rsid w:val="D7F196C1"/>
    <w:rsid w:val="D9C826B2"/>
    <w:rsid w:val="DBFB6E08"/>
    <w:rsid w:val="DCFF41A5"/>
    <w:rsid w:val="DFEE0180"/>
    <w:rsid w:val="E36EF76B"/>
    <w:rsid w:val="E5D710FB"/>
    <w:rsid w:val="EB6AE347"/>
    <w:rsid w:val="EDF73C7F"/>
    <w:rsid w:val="EEED496E"/>
    <w:rsid w:val="EFEB0F9B"/>
    <w:rsid w:val="EFEFD35A"/>
    <w:rsid w:val="EFFD7420"/>
    <w:rsid w:val="EFFF0642"/>
    <w:rsid w:val="F1861E1C"/>
    <w:rsid w:val="F4EDCA6C"/>
    <w:rsid w:val="F5DD0117"/>
    <w:rsid w:val="F7ECC025"/>
    <w:rsid w:val="F7FA29BF"/>
    <w:rsid w:val="F7FF631E"/>
    <w:rsid w:val="F7FFAD9B"/>
    <w:rsid w:val="F8F7262F"/>
    <w:rsid w:val="FAFB997D"/>
    <w:rsid w:val="FBABFAB6"/>
    <w:rsid w:val="FBEC4E39"/>
    <w:rsid w:val="FCB96BBF"/>
    <w:rsid w:val="FCFF6CE0"/>
    <w:rsid w:val="FDBFEE35"/>
    <w:rsid w:val="FDEF1F4D"/>
    <w:rsid w:val="FEDDE9A6"/>
    <w:rsid w:val="FEF2B901"/>
    <w:rsid w:val="FF3F0B3D"/>
    <w:rsid w:val="FFA70E21"/>
    <w:rsid w:val="FFAA2433"/>
    <w:rsid w:val="FFBC86FB"/>
    <w:rsid w:val="FFD94507"/>
    <w:rsid w:val="FFEB3C63"/>
    <w:rsid w:val="FFF45EEF"/>
    <w:rsid w:val="FFFBA818"/>
    <w:rsid w:val="FFFF5DD7"/>
    <w:rsid w:val="FFFFF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kern w:val="28"/>
      <w:szCs w:val="20"/>
    </w:rPr>
  </w:style>
  <w:style w:type="paragraph" w:styleId="3">
    <w:name w:val="Normal Indent"/>
    <w:basedOn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4">
    <w:name w:val="annotation text"/>
    <w:basedOn w:val="1"/>
    <w:autoRedefine/>
    <w:unhideWhenUsed/>
    <w:qFormat/>
    <w:uiPriority w:val="99"/>
    <w:pPr>
      <w:jc w:val="left"/>
    </w:pPr>
  </w:style>
  <w:style w:type="paragraph" w:styleId="5">
    <w:name w:val="Body Text Indent"/>
    <w:basedOn w:val="1"/>
    <w:autoRedefine/>
    <w:unhideWhenUsed/>
    <w:qFormat/>
    <w:uiPriority w:val="0"/>
    <w:pPr>
      <w:ind w:firstLine="420"/>
    </w:pPr>
    <w:rPr>
      <w:szCs w:val="20"/>
    </w:rPr>
  </w:style>
  <w:style w:type="paragraph" w:styleId="6">
    <w:name w:val="Balloon Text"/>
    <w:basedOn w:val="1"/>
    <w:link w:val="19"/>
    <w:autoRedefine/>
    <w:qFormat/>
    <w:uiPriority w:val="0"/>
    <w:rPr>
      <w:sz w:val="18"/>
      <w:szCs w:val="18"/>
    </w:rPr>
  </w:style>
  <w:style w:type="paragraph" w:styleId="7">
    <w:name w:val="footer"/>
    <w:basedOn w:val="1"/>
    <w:link w:val="18"/>
    <w:autoRedefine/>
    <w:qFormat/>
    <w:uiPriority w:val="0"/>
    <w:pPr>
      <w:tabs>
        <w:tab w:val="center" w:pos="4153"/>
        <w:tab w:val="right" w:pos="8306"/>
      </w:tabs>
      <w:snapToGrid w:val="0"/>
      <w:jc w:val="left"/>
    </w:pPr>
    <w:rPr>
      <w:sz w:val="18"/>
    </w:rPr>
  </w:style>
  <w:style w:type="paragraph" w:styleId="8">
    <w:name w:val="header"/>
    <w:basedOn w:val="1"/>
    <w:link w:val="1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First Indent 2"/>
    <w:basedOn w:val="5"/>
    <w:next w:val="1"/>
    <w:autoRedefine/>
    <w:qFormat/>
    <w:uiPriority w:val="0"/>
    <w:pPr>
      <w:ind w:firstLine="200" w:firstLineChars="200"/>
    </w:p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basedOn w:val="12"/>
    <w:autoRedefine/>
    <w:qFormat/>
    <w:uiPriority w:val="20"/>
    <w:rPr>
      <w:i/>
    </w:rPr>
  </w:style>
  <w:style w:type="character" w:styleId="15">
    <w:name w:val="annotation reference"/>
    <w:basedOn w:val="12"/>
    <w:autoRedefine/>
    <w:semiHidden/>
    <w:unhideWhenUsed/>
    <w:qFormat/>
    <w:uiPriority w:val="99"/>
    <w:rPr>
      <w:sz w:val="21"/>
      <w:szCs w:val="21"/>
    </w:rPr>
  </w:style>
  <w:style w:type="paragraph" w:customStyle="1" w:styleId="16">
    <w:name w:val="Default"/>
    <w:autoRedefine/>
    <w:qFormat/>
    <w:uiPriority w:val="0"/>
    <w:pPr>
      <w:widowControl w:val="0"/>
      <w:autoSpaceDE w:val="0"/>
      <w:autoSpaceDN w:val="0"/>
      <w:adjustRightInd w:val="0"/>
      <w:jc w:val="center"/>
    </w:pPr>
    <w:rPr>
      <w:rFonts w:ascii="黑体" w:hAnsi="Times New Roman" w:eastAsia="黑体" w:cs="黑体"/>
      <w:color w:val="000000"/>
      <w:sz w:val="24"/>
      <w:szCs w:val="24"/>
      <w:lang w:val="en-US" w:eastAsia="zh-CN" w:bidi="ar-SA"/>
    </w:rPr>
  </w:style>
  <w:style w:type="character" w:customStyle="1" w:styleId="17">
    <w:name w:val="页眉 Char"/>
    <w:link w:val="8"/>
    <w:autoRedefine/>
    <w:qFormat/>
    <w:uiPriority w:val="0"/>
    <w:rPr>
      <w:sz w:val="18"/>
      <w:szCs w:val="18"/>
    </w:rPr>
  </w:style>
  <w:style w:type="character" w:customStyle="1" w:styleId="18">
    <w:name w:val="页脚 Char"/>
    <w:link w:val="7"/>
    <w:autoRedefine/>
    <w:qFormat/>
    <w:uiPriority w:val="0"/>
    <w:rPr>
      <w:kern w:val="2"/>
      <w:sz w:val="18"/>
    </w:rPr>
  </w:style>
  <w:style w:type="character" w:customStyle="1" w:styleId="19">
    <w:name w:val="批注框文本 Char"/>
    <w:link w:val="6"/>
    <w:autoRedefine/>
    <w:qFormat/>
    <w:uiPriority w:val="0"/>
    <w:rPr>
      <w:rFonts w:cs="Times New Roman"/>
      <w:kern w:val="2"/>
      <w:sz w:val="18"/>
      <w:szCs w:val="18"/>
    </w:rPr>
  </w:style>
  <w:style w:type="character" w:customStyle="1" w:styleId="20">
    <w:name w:val="font11"/>
    <w:basedOn w:val="12"/>
    <w:autoRedefine/>
    <w:qFormat/>
    <w:uiPriority w:val="0"/>
    <w:rPr>
      <w:rFonts w:hint="eastAsia" w:ascii="宋体" w:hAnsi="宋体" w:eastAsia="宋体" w:cs="宋体"/>
      <w:color w:val="000000"/>
      <w:sz w:val="22"/>
      <w:szCs w:val="22"/>
      <w:u w:val="none"/>
    </w:rPr>
  </w:style>
  <w:style w:type="character" w:customStyle="1" w:styleId="21">
    <w:name w:val="font31"/>
    <w:basedOn w:val="12"/>
    <w:autoRedefine/>
    <w:qFormat/>
    <w:uiPriority w:val="0"/>
    <w:rPr>
      <w:rFonts w:hint="default" w:ascii="仿宋_GB2312" w:eastAsia="仿宋_GB2312" w:cs="仿宋_GB2312"/>
      <w:color w:val="000000"/>
      <w:sz w:val="24"/>
      <w:szCs w:val="24"/>
      <w:u w:val="none"/>
    </w:rPr>
  </w:style>
  <w:style w:type="character" w:customStyle="1" w:styleId="22">
    <w:name w:val="font01"/>
    <w:basedOn w:val="12"/>
    <w:autoRedefine/>
    <w:qFormat/>
    <w:uiPriority w:val="0"/>
    <w:rPr>
      <w:rFonts w:hint="eastAsia" w:ascii="仿宋" w:hAnsi="仿宋" w:eastAsia="仿宋" w:cs="仿宋"/>
      <w:color w:val="000000"/>
      <w:sz w:val="24"/>
      <w:szCs w:val="24"/>
      <w:u w:val="none"/>
    </w:rPr>
  </w:style>
  <w:style w:type="character" w:customStyle="1" w:styleId="23">
    <w:name w:val="font21"/>
    <w:basedOn w:val="12"/>
    <w:autoRedefine/>
    <w:qFormat/>
    <w:uiPriority w:val="0"/>
    <w:rPr>
      <w:rFonts w:hint="eastAsia" w:ascii="仿宋" w:hAnsi="仿宋" w:eastAsia="仿宋" w:cs="仿宋"/>
      <w:color w:val="000000"/>
      <w:sz w:val="24"/>
      <w:szCs w:val="24"/>
      <w:u w:val="none"/>
    </w:rPr>
  </w:style>
  <w:style w:type="paragraph" w:customStyle="1" w:styleId="24">
    <w:name w:val="列出段落2"/>
    <w:basedOn w:val="1"/>
    <w:autoRedefine/>
    <w:qFormat/>
    <w:uiPriority w:val="99"/>
    <w:pPr>
      <w:ind w:firstLine="420" w:firstLineChars="200"/>
    </w:pPr>
  </w:style>
  <w:style w:type="paragraph" w:customStyle="1" w:styleId="25">
    <w:name w:val="Table Text"/>
    <w:basedOn w:val="1"/>
    <w:semiHidden/>
    <w:qFormat/>
    <w:uiPriority w:val="0"/>
    <w:rPr>
      <w:rFonts w:ascii="宋体" w:hAnsi="宋体" w:eastAsia="宋体" w:cs="宋体"/>
      <w:lang w:eastAsia="en-US"/>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产品生命周期碳足迹分析</a:t>
            </a:r>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电能源消耗</c:v>
                </c:pt>
              </c:strCache>
            </c:strRef>
          </c:tx>
          <c:spPr>
            <a:gradFill>
              <a:gsLst>
                <a:gs pos="0">
                  <a:schemeClr val="accent1">
                    <a:lumMod val="40000"/>
                    <a:lumOff val="60000"/>
                  </a:schemeClr>
                </a:gs>
                <a:gs pos="90000">
                  <a:schemeClr val="accent1"/>
                </a:gs>
              </a:gsLst>
              <a:lin ang="10800000" scaled="0"/>
            </a:gradFill>
            <a:ln>
              <a:gradFill>
                <a:gsLst>
                  <a:gs pos="0">
                    <a:schemeClr val="accent1"/>
                  </a:gs>
                  <a:gs pos="100000">
                    <a:schemeClr val="accent1">
                      <a:lumMod val="75000"/>
                    </a:schemeClr>
                  </a:gs>
                </a:gsLst>
                <a:lin ang="10800000" scaled="0"/>
              </a:gradFill>
            </a:ln>
            <a:effectLst>
              <a:outerShdw blurRad="76200" dist="25400" dir="2700000" algn="tl" rotWithShape="0">
                <a:schemeClr val="accent1">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0.0000%</c:formatCode>
                <c:ptCount val="1"/>
                <c:pt idx="0">
                  <c:v>0.000867545912918098</c:v>
                </c:pt>
              </c:numCache>
            </c:numRef>
          </c:val>
        </c:ser>
        <c:ser>
          <c:idx val="1"/>
          <c:order val="1"/>
          <c:tx>
            <c:strRef>
              <c:f>Sheet1!$C$1</c:f>
              <c:strCache>
                <c:ptCount val="1"/>
                <c:pt idx="0">
                  <c:v>水能消耗</c:v>
                </c:pt>
              </c:strCache>
            </c:strRef>
          </c:tx>
          <c:spPr>
            <a:gradFill>
              <a:gsLst>
                <a:gs pos="0">
                  <a:schemeClr val="accent2">
                    <a:lumMod val="40000"/>
                    <a:lumOff val="60000"/>
                  </a:schemeClr>
                </a:gs>
                <a:gs pos="90000">
                  <a:schemeClr val="accent2"/>
                </a:gs>
              </a:gsLst>
              <a:lin ang="10800000" scaled="0"/>
            </a:gradFill>
            <a:ln>
              <a:gradFill>
                <a:gsLst>
                  <a:gs pos="0">
                    <a:schemeClr val="accent2"/>
                  </a:gs>
                  <a:gs pos="100000">
                    <a:schemeClr val="accent2">
                      <a:lumMod val="75000"/>
                    </a:schemeClr>
                  </a:gs>
                </a:gsLst>
                <a:lin ang="10800000" scaled="0"/>
              </a:gradFill>
            </a:ln>
            <a:effectLst>
              <a:outerShdw blurRad="76200" dist="25400" dir="2700000" algn="tl" rotWithShape="0">
                <a:schemeClr val="accent2">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0.0000%</c:formatCode>
                <c:ptCount val="1"/>
                <c:pt idx="0">
                  <c:v>1.74263181353668e-6</c:v>
                </c:pt>
              </c:numCache>
            </c:numRef>
          </c:val>
        </c:ser>
        <c:ser>
          <c:idx val="2"/>
          <c:order val="2"/>
          <c:tx>
            <c:strRef>
              <c:f>Sheet1!$D$1</c:f>
              <c:strCache>
                <c:ptCount val="1"/>
                <c:pt idx="0">
                  <c:v>机箱（钣金）</c:v>
                </c:pt>
              </c:strCache>
            </c:strRef>
          </c:tx>
          <c:spPr>
            <a:gradFill>
              <a:gsLst>
                <a:gs pos="0">
                  <a:schemeClr val="accent3">
                    <a:lumMod val="40000"/>
                    <a:lumOff val="60000"/>
                  </a:schemeClr>
                </a:gs>
                <a:gs pos="90000">
                  <a:schemeClr val="accent3"/>
                </a:gs>
              </a:gsLst>
              <a:lin ang="10800000" scaled="0"/>
            </a:gradFill>
            <a:ln>
              <a:gradFill>
                <a:gsLst>
                  <a:gs pos="0">
                    <a:schemeClr val="accent3"/>
                  </a:gs>
                  <a:gs pos="100000">
                    <a:schemeClr val="accent3">
                      <a:lumMod val="75000"/>
                    </a:schemeClr>
                  </a:gs>
                </a:gsLst>
                <a:lin ang="10800000" scaled="0"/>
              </a:gradFill>
            </a:ln>
            <a:effectLst>
              <a:outerShdw blurRad="76200" dist="25400" dir="2700000" algn="tl" rotWithShape="0">
                <a:schemeClr val="accent3">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0.0000%</c:formatCode>
                <c:ptCount val="1"/>
                <c:pt idx="0">
                  <c:v>0.0847810381987534</c:v>
                </c:pt>
              </c:numCache>
            </c:numRef>
          </c:val>
        </c:ser>
        <c:ser>
          <c:idx val="3"/>
          <c:order val="3"/>
          <c:tx>
            <c:strRef>
              <c:f>Sheet1!$E$1</c:f>
              <c:strCache>
                <c:ptCount val="1"/>
                <c:pt idx="0">
                  <c:v>电感</c:v>
                </c:pt>
              </c:strCache>
            </c:strRef>
          </c:tx>
          <c:spPr>
            <a:gradFill>
              <a:gsLst>
                <a:gs pos="0">
                  <a:schemeClr val="accent4">
                    <a:lumMod val="40000"/>
                    <a:lumOff val="60000"/>
                  </a:schemeClr>
                </a:gs>
                <a:gs pos="90000">
                  <a:schemeClr val="accent4"/>
                </a:gs>
              </a:gsLst>
              <a:lin ang="10800000" scaled="0"/>
            </a:gradFill>
            <a:ln>
              <a:gradFill>
                <a:gsLst>
                  <a:gs pos="0">
                    <a:schemeClr val="accent4"/>
                  </a:gs>
                  <a:gs pos="100000">
                    <a:schemeClr val="accent4">
                      <a:lumMod val="75000"/>
                    </a:schemeClr>
                  </a:gs>
                </a:gsLst>
                <a:lin ang="10800000" scaled="0"/>
              </a:gradFill>
            </a:ln>
            <a:effectLst>
              <a:outerShdw blurRad="76200" dist="25400" dir="2700000" algn="tl" rotWithShape="0">
                <a:schemeClr val="accent4">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0.0000%</c:formatCode>
                <c:ptCount val="1"/>
                <c:pt idx="0">
                  <c:v>0.00128848466593421</c:v>
                </c:pt>
              </c:numCache>
            </c:numRef>
          </c:val>
        </c:ser>
        <c:ser>
          <c:idx val="4"/>
          <c:order val="4"/>
          <c:tx>
            <c:strRef>
              <c:f>Sheet1!$F$1</c:f>
              <c:strCache>
                <c:ptCount val="1"/>
                <c:pt idx="0">
                  <c:v>防雷模块</c:v>
                </c:pt>
              </c:strCache>
            </c:strRef>
          </c:tx>
          <c:spPr>
            <a:gradFill>
              <a:gsLst>
                <a:gs pos="0">
                  <a:schemeClr val="accent5">
                    <a:lumMod val="40000"/>
                    <a:lumOff val="60000"/>
                  </a:schemeClr>
                </a:gs>
                <a:gs pos="90000">
                  <a:schemeClr val="accent5"/>
                </a:gs>
              </a:gsLst>
              <a:lin ang="10800000" scaled="0"/>
            </a:gradFill>
            <a:ln>
              <a:gradFill>
                <a:gsLst>
                  <a:gs pos="0">
                    <a:schemeClr val="accent5"/>
                  </a:gs>
                  <a:gs pos="100000">
                    <a:schemeClr val="accent5">
                      <a:lumMod val="75000"/>
                    </a:schemeClr>
                  </a:gs>
                </a:gsLst>
                <a:lin ang="10800000" scaled="0"/>
              </a:gradFill>
            </a:ln>
            <a:effectLst>
              <a:outerShdw blurRad="76200" dist="25400" dir="2700000" algn="tl" rotWithShape="0">
                <a:schemeClr val="accent5">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0.0000%</c:formatCode>
                <c:ptCount val="1"/>
                <c:pt idx="0">
                  <c:v>0.000514114104296643</c:v>
                </c:pt>
              </c:numCache>
            </c:numRef>
          </c:val>
        </c:ser>
        <c:ser>
          <c:idx val="5"/>
          <c:order val="5"/>
          <c:tx>
            <c:strRef>
              <c:f>Sheet1!$G$1</c:f>
              <c:strCache>
                <c:ptCount val="1"/>
                <c:pt idx="0">
                  <c:v>断路器</c:v>
                </c:pt>
              </c:strCache>
            </c:strRef>
          </c:tx>
          <c:spPr>
            <a:gradFill>
              <a:gsLst>
                <a:gs pos="0">
                  <a:schemeClr val="accent6">
                    <a:lumMod val="40000"/>
                    <a:lumOff val="60000"/>
                  </a:schemeClr>
                </a:gs>
                <a:gs pos="90000">
                  <a:schemeClr val="accent6"/>
                </a:gs>
              </a:gsLst>
              <a:lin ang="10800000" scaled="0"/>
            </a:gradFill>
            <a:ln>
              <a:gradFill>
                <a:gsLst>
                  <a:gs pos="0">
                    <a:schemeClr val="accent6"/>
                  </a:gs>
                  <a:gs pos="100000">
                    <a:schemeClr val="accent6">
                      <a:lumMod val="75000"/>
                    </a:schemeClr>
                  </a:gs>
                </a:gsLst>
                <a:lin ang="10800000" scaled="0"/>
              </a:gradFill>
            </a:ln>
            <a:effectLst>
              <a:outerShdw blurRad="76200" dist="25400" dir="2700000" algn="tl" rotWithShape="0">
                <a:schemeClr val="accent6">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Sheet1!$G$2</c:f>
              <c:numCache>
                <c:formatCode>0.0000%</c:formatCode>
                <c:ptCount val="1"/>
                <c:pt idx="0">
                  <c:v>0.897192695966101</c:v>
                </c:pt>
              </c:numCache>
            </c:numRef>
          </c:val>
        </c:ser>
        <c:ser>
          <c:idx val="6"/>
          <c:order val="6"/>
          <c:tx>
            <c:strRef>
              <c:f>Sheet1!$H$1</c:f>
              <c:strCache>
                <c:ptCount val="1"/>
                <c:pt idx="0">
                  <c:v>电线</c:v>
                </c:pt>
              </c:strCache>
            </c:strRef>
          </c:tx>
          <c:spPr>
            <a:gradFill>
              <a:gsLst>
                <a:gs pos="0">
                  <a:schemeClr val="accent1">
                    <a:lumMod val="40000"/>
                    <a:lumOff val="60000"/>
                  </a:schemeClr>
                </a:gs>
                <a:gs pos="90000">
                  <a:schemeClr val="accent1"/>
                </a:gs>
              </a:gsLst>
              <a:lin ang="10800000" scaled="0"/>
            </a:gradFill>
            <a:ln>
              <a:gradFill>
                <a:gsLst>
                  <a:gs pos="0">
                    <a:schemeClr val="accent1"/>
                  </a:gs>
                  <a:gs pos="100000">
                    <a:schemeClr val="accent1">
                      <a:lumMod val="75000"/>
                    </a:schemeClr>
                  </a:gs>
                </a:gsLst>
                <a:lin ang="10800000" scaled="0"/>
              </a:gradFill>
            </a:ln>
            <a:effectLst>
              <a:outerShdw blurRad="76200" dist="25400" dir="2700000" algn="tl" rotWithShape="0">
                <a:schemeClr val="accent1">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Sheet1!$H$2</c:f>
              <c:numCache>
                <c:formatCode>0.0000%</c:formatCode>
                <c:ptCount val="1"/>
                <c:pt idx="0">
                  <c:v>0.0011278745252656</c:v>
                </c:pt>
              </c:numCache>
            </c:numRef>
          </c:val>
        </c:ser>
        <c:ser>
          <c:idx val="7"/>
          <c:order val="7"/>
          <c:tx>
            <c:strRef>
              <c:f>Sheet1!$I$1</c:f>
              <c:strCache>
                <c:ptCount val="1"/>
                <c:pt idx="0">
                  <c:v>中型柴油货车运输</c:v>
                </c:pt>
              </c:strCache>
            </c:strRef>
          </c:tx>
          <c:spPr>
            <a:gradFill>
              <a:gsLst>
                <a:gs pos="0">
                  <a:schemeClr val="accent2">
                    <a:lumMod val="40000"/>
                    <a:lumOff val="60000"/>
                  </a:schemeClr>
                </a:gs>
                <a:gs pos="90000">
                  <a:schemeClr val="accent2"/>
                </a:gs>
              </a:gsLst>
              <a:lin ang="10800000" scaled="0"/>
            </a:gradFill>
            <a:ln>
              <a:gradFill>
                <a:gsLst>
                  <a:gs pos="0">
                    <a:schemeClr val="accent2"/>
                  </a:gs>
                  <a:gs pos="100000">
                    <a:schemeClr val="accent2">
                      <a:lumMod val="75000"/>
                    </a:schemeClr>
                  </a:gs>
                </a:gsLst>
                <a:lin ang="10800000" scaled="0"/>
              </a:gradFill>
            </a:ln>
            <a:effectLst>
              <a:outerShdw blurRad="76200" dist="25400" dir="2700000" algn="tl" rotWithShape="0">
                <a:schemeClr val="accent2">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Sheet1!$I$2</c:f>
              <c:numCache>
                <c:formatCode>0.0000%</c:formatCode>
                <c:ptCount val="1"/>
                <c:pt idx="0">
                  <c:v>0.0142265039949171</c:v>
                </c:pt>
              </c:numCache>
            </c:numRef>
          </c:val>
        </c:ser>
        <c:dLbls>
          <c:showLegendKey val="0"/>
          <c:showVal val="1"/>
          <c:showCatName val="0"/>
          <c:showSerName val="0"/>
          <c:showPercent val="0"/>
          <c:showBubbleSize val="0"/>
        </c:dLbls>
        <c:gapWidth val="140"/>
        <c:overlap val="-40"/>
        <c:axId val="595158024"/>
        <c:axId val="203772099"/>
      </c:barChart>
      <c:catAx>
        <c:axId val="595158024"/>
        <c:scaling>
          <c:orientation val="minMax"/>
        </c:scaling>
        <c:delete val="0"/>
        <c:axPos val="l"/>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03772099"/>
        <c:crosses val="autoZero"/>
        <c:auto val="1"/>
        <c:lblAlgn val="ctr"/>
        <c:lblOffset val="100"/>
        <c:noMultiLvlLbl val="0"/>
      </c:catAx>
      <c:valAx>
        <c:axId val="203772099"/>
        <c:scaling>
          <c:orientation val="minMax"/>
        </c:scaling>
        <c:delete val="0"/>
        <c:axPos val="b"/>
        <c:majorGridlines>
          <c:spPr>
            <a:ln w="9525" cap="flat" cmpd="sng" algn="ctr">
              <a:solidFill>
                <a:schemeClr val="tx1">
                  <a:lumMod val="50000"/>
                  <a:lumOff val="50000"/>
                  <a:alpha val="40000"/>
                </a:schemeClr>
              </a:solidFill>
              <a:round/>
            </a:ln>
            <a:effectLst/>
          </c:spPr>
        </c:majorGridlines>
        <c:numFmt formatCode="0.0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95158024"/>
        <c:crosses val="autoZero"/>
        <c:crossBetween val="between"/>
      </c:valAx>
      <c:spPr>
        <a:noFill/>
        <a:ln>
          <a:noFill/>
        </a:ln>
        <a:effectLst/>
      </c:spPr>
    </c:plotArea>
    <c:legend>
      <c:legendPos val="l"/>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f89fba19-3627-4823-9d4d-55e4a1f41579}"/>
      </c:ext>
    </c:extLst>
  </c:chart>
  <c:spPr>
    <a:solidFill>
      <a:schemeClr val="bg1"/>
    </a:solidFill>
    <a:ln w="6350" cap="flat" cmpd="sng" algn="ctr">
      <a:solidFill>
        <a:schemeClr val="tx1">
          <a:lumMod val="50000"/>
          <a:lumOff val="50000"/>
          <a:alpha val="25000"/>
        </a:schemeClr>
      </a:solidFill>
      <a:round/>
    </a:ln>
    <a:effectLst/>
  </c:spPr>
  <c:txPr>
    <a:bodyPr/>
    <a:lstStyle/>
    <a:p>
      <a:pPr>
        <a:defRPr lang="zh-CN" b="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2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10800000" scaled="0"/>
      </a:gradFill>
      <a:ln>
        <a:gradFill>
          <a:gsLst>
            <a:gs pos="0">
              <a:schemeClr val="phClr"/>
            </a:gs>
            <a:gs pos="100000">
              <a:schemeClr val="phClr">
                <a:lumMod val="75000"/>
              </a:schemeClr>
            </a:gs>
          </a:gsLst>
          <a:lin ang="10800000" scaled="0"/>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Microsoft</Company>
  <Pages>13</Pages>
  <Words>6939</Words>
  <Characters>8040</Characters>
  <Lines>29</Lines>
  <Paragraphs>8</Paragraphs>
  <TotalTime>6</TotalTime>
  <ScaleCrop>false</ScaleCrop>
  <LinksUpToDate>false</LinksUpToDate>
  <CharactersWithSpaces>8115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2021-12-18T14:51:00Z</dcterms:created>
  <dc:creator>Administrator</dc:creator>
  <cp:lastModifiedBy>西西嘻嘻嘻</cp:lastModifiedBy>
  <cp:lastPrinted>2024-01-16T01:23:00Z</cp:lastPrinted>
  <dcterms:modified xsi:type="dcterms:W3CDTF">2025-04-29T06:57:02Z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8ED2863EB68144518E44B94B2F6EEE2C_12</vt:lpwstr>
  </property>
  <property fmtid="{D5CDD505-2E9C-101B-9397-08002B2CF9AE}" pid="4" name="KSOTemplateDocerSaveRecord">
    <vt:lpwstr>eyJoZGlkIjoiMmQ3YTU3MjE5OTJjMmFhYmFmNDU5YjJiZjY2NWMxYzUiLCJ1c2VySWQiOiIyNTYyODk4MzMifQ==</vt:lpwstr>
  </property>
</Properties>
</file>